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pStyle w:val="8"/>
        <w:shd w:val="clear" w:color="auto" w:fill="auto"/>
        <w:spacing w:after="0" w:line="900" w:lineRule="exact"/>
        <w:rPr>
          <w:rFonts w:hint="eastAsia" w:eastAsiaTheme="minorEastAsia"/>
          <w:b/>
          <w:bCs/>
        </w:rPr>
      </w:pPr>
    </w:p>
    <w:p>
      <w:pPr>
        <w:pStyle w:val="8"/>
        <w:shd w:val="clear" w:color="auto" w:fill="auto"/>
        <w:spacing w:after="0" w:line="900" w:lineRule="exact"/>
        <w:rPr>
          <w:rFonts w:hint="eastAsia" w:eastAsiaTheme="minorEastAsia"/>
          <w:b/>
          <w:bCs/>
        </w:rPr>
      </w:pPr>
    </w:p>
    <w:p>
      <w:pPr>
        <w:pStyle w:val="8"/>
        <w:shd w:val="clear" w:color="auto" w:fill="auto"/>
        <w:autoSpaceDE w:val="0"/>
        <w:autoSpaceDN w:val="0"/>
        <w:spacing w:after="0" w:line="900" w:lineRule="exact"/>
        <w:rPr>
          <w:rFonts w:hint="eastAsia" w:eastAsia="宋体"/>
          <w:b/>
          <w:bCs/>
          <w:lang w:eastAsia="zh-CN"/>
        </w:rPr>
      </w:pPr>
      <w:r>
        <w:rPr>
          <w:rFonts w:hint="eastAsia" w:eastAsia="宋体"/>
          <w:b/>
          <w:bCs/>
        </w:rPr>
        <w:t>石台县</w:t>
      </w:r>
      <w:r>
        <w:rPr>
          <w:rFonts w:hint="eastAsia" w:eastAsia="宋体"/>
          <w:b/>
          <w:bCs/>
          <w:lang w:eastAsia="zh-CN"/>
        </w:rPr>
        <w:t>团县委</w:t>
      </w:r>
    </w:p>
    <w:p>
      <w:pPr>
        <w:pStyle w:val="8"/>
        <w:shd w:val="clear" w:color="auto" w:fill="auto"/>
        <w:autoSpaceDE w:val="0"/>
        <w:autoSpaceDN w:val="0"/>
        <w:spacing w:after="0" w:line="900" w:lineRule="exact"/>
        <w:rPr>
          <w:rFonts w:hint="eastAsia" w:eastAsia="宋体"/>
          <w:b/>
          <w:bCs/>
        </w:rPr>
      </w:pPr>
      <w:r>
        <w:rPr>
          <w:rFonts w:hint="eastAsia" w:eastAsia="宋体"/>
          <w:b/>
          <w:bCs/>
        </w:rPr>
        <w:t>20</w:t>
      </w:r>
      <w:r>
        <w:rPr>
          <w:rFonts w:hint="eastAsia" w:eastAsia="宋体"/>
          <w:b/>
          <w:bCs/>
          <w:lang w:val="en-US"/>
        </w:rPr>
        <w:t>21</w:t>
      </w:r>
      <w:r>
        <w:rPr>
          <w:rFonts w:hint="eastAsia" w:eastAsia="宋体"/>
          <w:b/>
          <w:bCs/>
        </w:rPr>
        <w:t>年部门预算</w:t>
      </w:r>
    </w:p>
    <w:p>
      <w:pPr>
        <w:pStyle w:val="8"/>
        <w:shd w:val="clear" w:color="auto" w:fill="auto"/>
        <w:spacing w:after="0" w:line="560" w:lineRule="exact"/>
      </w:pPr>
    </w:p>
    <w:p>
      <w:pPr>
        <w:pStyle w:val="8"/>
        <w:shd w:val="clear" w:color="auto" w:fill="auto"/>
        <w:spacing w:after="0" w:line="560" w:lineRule="exact"/>
      </w:pPr>
    </w:p>
    <w:p>
      <w:pPr>
        <w:pStyle w:val="8"/>
        <w:shd w:val="clear" w:color="auto" w:fill="auto"/>
        <w:spacing w:after="0" w:line="560" w:lineRule="exact"/>
      </w:pPr>
    </w:p>
    <w:p>
      <w:pPr>
        <w:pStyle w:val="8"/>
        <w:shd w:val="clear" w:color="auto" w:fill="auto"/>
        <w:spacing w:after="0" w:line="560" w:lineRule="exact"/>
      </w:pPr>
    </w:p>
    <w:p>
      <w:pPr>
        <w:pStyle w:val="8"/>
        <w:shd w:val="clear" w:color="auto" w:fill="auto"/>
        <w:spacing w:after="0" w:line="560" w:lineRule="exact"/>
      </w:pPr>
      <w:bookmarkStart w:id="0" w:name="_GoBack"/>
    </w:p>
    <w:bookmarkEnd w:id="0"/>
    <w:p>
      <w:pPr>
        <w:pStyle w:val="8"/>
        <w:shd w:val="clear" w:color="auto" w:fill="auto"/>
        <w:spacing w:after="0" w:line="560" w:lineRule="exact"/>
      </w:pPr>
    </w:p>
    <w:p>
      <w:pPr>
        <w:pStyle w:val="8"/>
        <w:shd w:val="clear" w:color="auto" w:fill="auto"/>
        <w:spacing w:after="0" w:line="560" w:lineRule="exact"/>
      </w:pPr>
    </w:p>
    <w:p>
      <w:pPr>
        <w:pStyle w:val="8"/>
        <w:shd w:val="clear" w:color="auto" w:fill="auto"/>
        <w:spacing w:after="0" w:line="560" w:lineRule="exact"/>
      </w:pPr>
    </w:p>
    <w:p>
      <w:pPr>
        <w:pStyle w:val="8"/>
        <w:shd w:val="clear" w:color="auto" w:fill="auto"/>
        <w:spacing w:after="0" w:line="560" w:lineRule="exact"/>
      </w:pPr>
    </w:p>
    <w:p>
      <w:pPr>
        <w:pStyle w:val="8"/>
        <w:shd w:val="clear" w:color="auto" w:fill="auto"/>
        <w:spacing w:after="0" w:line="560" w:lineRule="exact"/>
      </w:pPr>
    </w:p>
    <w:p>
      <w:pPr>
        <w:pStyle w:val="8"/>
        <w:shd w:val="clear" w:color="auto" w:fill="auto"/>
        <w:spacing w:after="0" w:line="560" w:lineRule="exact"/>
        <w:jc w:val="both"/>
      </w:pPr>
    </w:p>
    <w:p>
      <w:pPr>
        <w:autoSpaceDE w:val="0"/>
        <w:autoSpaceDN w:val="0"/>
        <w:ind w:left="1682" w:right="1305"/>
        <w:jc w:val="center"/>
        <w:rPr>
          <w:rFonts w:hint="eastAsia" w:ascii="黑体" w:hAnsi="仿宋_GB2312" w:eastAsia="黑体" w:cs="仿宋_GB2312"/>
          <w:sz w:val="44"/>
          <w:szCs w:val="22"/>
          <w:lang w:val="en-US"/>
        </w:rPr>
      </w:pPr>
      <w:r>
        <w:rPr>
          <w:rFonts w:hint="eastAsia" w:ascii="黑体" w:hAnsi="仿宋_GB2312" w:eastAsia="黑体" w:cs="仿宋_GB2312"/>
          <w:sz w:val="44"/>
          <w:szCs w:val="22"/>
        </w:rPr>
        <w:t>20</w:t>
      </w:r>
      <w:r>
        <w:rPr>
          <w:rFonts w:hint="eastAsia" w:ascii="黑体" w:hAnsi="仿宋_GB2312" w:eastAsia="黑体" w:cs="仿宋_GB2312"/>
          <w:sz w:val="44"/>
          <w:szCs w:val="22"/>
          <w:lang w:val="en-US"/>
        </w:rPr>
        <w:t>21</w:t>
      </w:r>
      <w:r>
        <w:rPr>
          <w:rFonts w:hint="eastAsia" w:ascii="黑体" w:hAnsi="仿宋_GB2312" w:eastAsia="黑体" w:cs="仿宋_GB2312"/>
          <w:sz w:val="44"/>
          <w:szCs w:val="22"/>
        </w:rPr>
        <w:t>年</w:t>
      </w:r>
      <w:r>
        <w:rPr>
          <w:rFonts w:hint="eastAsia" w:ascii="黑体" w:hAnsi="仿宋_GB2312" w:eastAsia="黑体" w:cs="仿宋_GB2312"/>
          <w:sz w:val="44"/>
          <w:szCs w:val="22"/>
          <w:lang w:val="en-US"/>
        </w:rPr>
        <w:t>2</w:t>
      </w:r>
      <w:r>
        <w:rPr>
          <w:rFonts w:hint="eastAsia" w:ascii="黑体" w:hAnsi="仿宋_GB2312" w:eastAsia="黑体" w:cs="仿宋_GB2312"/>
          <w:sz w:val="44"/>
          <w:szCs w:val="22"/>
        </w:rPr>
        <w:t>月</w:t>
      </w:r>
      <w:r>
        <w:rPr>
          <w:rFonts w:hint="eastAsia" w:ascii="黑体" w:hAnsi="仿宋_GB2312" w:eastAsia="黑体" w:cs="仿宋_GB2312"/>
          <w:sz w:val="44"/>
          <w:szCs w:val="22"/>
          <w:lang w:val="en-US"/>
        </w:rPr>
        <w:t>18日</w:t>
      </w:r>
    </w:p>
    <w:p>
      <w:pPr>
        <w:pStyle w:val="8"/>
        <w:shd w:val="clear" w:color="auto" w:fill="auto"/>
        <w:spacing w:after="0" w:line="560" w:lineRule="exact"/>
        <w:rPr>
          <w:rStyle w:val="12"/>
          <w:rFonts w:hint="eastAsia" w:asciiTheme="minorEastAsia" w:hAnsiTheme="minorEastAsia" w:eastAsiaTheme="minorEastAsia" w:cstheme="minorEastAsia"/>
          <w:lang w:val="en-US"/>
        </w:rPr>
      </w:pPr>
    </w:p>
    <w:p>
      <w:pPr>
        <w:pStyle w:val="8"/>
        <w:shd w:val="clear" w:color="auto" w:fill="auto"/>
        <w:spacing w:after="0" w:line="560" w:lineRule="exact"/>
        <w:rPr>
          <w:rStyle w:val="12"/>
          <w:rFonts w:hint="eastAsia"/>
          <w:lang w:val="en-US"/>
        </w:rPr>
      </w:pPr>
    </w:p>
    <w:p>
      <w:pPr>
        <w:pStyle w:val="8"/>
        <w:shd w:val="clear" w:color="auto" w:fill="auto"/>
        <w:spacing w:after="0" w:line="560" w:lineRule="exact"/>
        <w:rPr>
          <w:rStyle w:val="12"/>
          <w:rFonts w:hint="eastAsia"/>
          <w:lang w:val="en-US"/>
        </w:rPr>
      </w:pPr>
    </w:p>
    <w:p>
      <w:pPr>
        <w:pStyle w:val="8"/>
        <w:shd w:val="clear" w:color="auto" w:fill="auto"/>
        <w:spacing w:after="0" w:line="560" w:lineRule="exact"/>
        <w:rPr>
          <w:rStyle w:val="12"/>
          <w:rFonts w:hint="eastAsia"/>
          <w:lang w:val="en-US"/>
        </w:rPr>
      </w:pPr>
    </w:p>
    <w:p>
      <w:pPr>
        <w:pStyle w:val="8"/>
        <w:shd w:val="clear" w:color="auto" w:fill="auto"/>
        <w:spacing w:after="0" w:line="560" w:lineRule="exact"/>
        <w:rPr>
          <w:rStyle w:val="12"/>
          <w:rFonts w:hint="eastAsia"/>
          <w:lang w:val="en-US"/>
        </w:rPr>
      </w:pPr>
    </w:p>
    <w:p>
      <w:pPr>
        <w:autoSpaceDE w:val="0"/>
        <w:autoSpaceDN w:val="0"/>
        <w:spacing w:before="21"/>
        <w:ind w:left="1683" w:right="1305"/>
        <w:jc w:val="center"/>
        <w:rPr>
          <w:rFonts w:hint="eastAsia" w:ascii="黑体" w:hAnsi="仿宋_GB2312" w:eastAsia="黑体" w:cs="仿宋_GB2312"/>
          <w:sz w:val="44"/>
          <w:szCs w:val="22"/>
          <w:lang w:val="en-US" w:eastAsia="zh-CN"/>
        </w:rPr>
      </w:pPr>
      <w:r>
        <w:rPr>
          <w:rFonts w:hint="eastAsia" w:ascii="黑体" w:hAnsi="仿宋_GB2312" w:eastAsia="黑体" w:cs="仿宋_GB2312"/>
          <w:sz w:val="44"/>
          <w:szCs w:val="22"/>
          <w:lang w:val="en-US" w:eastAsia="zh-CN"/>
        </w:rPr>
        <w:t>目录</w:t>
      </w:r>
    </w:p>
    <w:p>
      <w:pPr>
        <w:pStyle w:val="8"/>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left"/>
        <w:textAlignment w:val="auto"/>
        <w:rPr>
          <w:rFonts w:hint="eastAsia" w:asciiTheme="minorEastAsia" w:hAnsiTheme="minorEastAsia" w:eastAsiaTheme="minorEastAsia" w:cstheme="minorEastAsia"/>
          <w:b/>
          <w:bCs/>
          <w:sz w:val="28"/>
          <w:szCs w:val="28"/>
        </w:rPr>
      </w:pPr>
    </w:p>
    <w:p>
      <w:pPr>
        <w:pStyle w:val="14"/>
        <w:shd w:val="clear" w:color="auto" w:fill="auto"/>
        <w:autoSpaceDE w:val="0"/>
        <w:autoSpaceDN w:val="0"/>
        <w:rPr>
          <w:rFonts w:hint="eastAsia" w:ascii="仿宋" w:hAnsi="仿宋" w:eastAsia="仿宋" w:cs="仿宋"/>
          <w:sz w:val="32"/>
          <w:szCs w:val="32"/>
        </w:rPr>
      </w:pPr>
      <w:r>
        <w:rPr>
          <w:rFonts w:hint="eastAsia" w:ascii="仿宋" w:hAnsi="仿宋" w:eastAsia="仿宋" w:cs="仿宋"/>
          <w:sz w:val="32"/>
          <w:szCs w:val="32"/>
        </w:rPr>
        <w:t>第一部分</w:t>
      </w:r>
      <w:r>
        <w:rPr>
          <w:rFonts w:hint="eastAsia" w:ascii="仿宋" w:hAnsi="仿宋" w:eastAsia="仿宋" w:cs="仿宋"/>
          <w:sz w:val="32"/>
          <w:szCs w:val="32"/>
          <w:lang w:val="en-US"/>
        </w:rPr>
        <w:t xml:space="preserve"> </w:t>
      </w:r>
      <w:r>
        <w:rPr>
          <w:rFonts w:hint="eastAsia" w:ascii="仿宋" w:hAnsi="仿宋" w:eastAsia="仿宋" w:cs="仿宋"/>
          <w:sz w:val="32"/>
          <w:szCs w:val="32"/>
        </w:rPr>
        <w:t>部门概况</w:t>
      </w:r>
    </w:p>
    <w:p>
      <w:pPr>
        <w:pStyle w:val="16"/>
        <w:shd w:val="clear" w:color="auto" w:fill="auto"/>
        <w:tabs>
          <w:tab w:val="left" w:pos="382"/>
        </w:tabs>
        <w:autoSpaceDE w:val="0"/>
        <w:autoSpaceDN w:val="0"/>
        <w:spacing w:before="0"/>
        <w:rPr>
          <w:rFonts w:hint="eastAsia" w:ascii="仿宋" w:hAnsi="仿宋" w:eastAsia="仿宋" w:cs="仿宋"/>
          <w:sz w:val="32"/>
          <w:szCs w:val="32"/>
        </w:rPr>
      </w:pPr>
      <w:r>
        <w:rPr>
          <w:rFonts w:hint="eastAsia" w:ascii="仿宋" w:hAnsi="仿宋" w:eastAsia="仿宋" w:cs="仿宋"/>
          <w:sz w:val="32"/>
          <w:szCs w:val="32"/>
        </w:rPr>
        <w:t>主要职责</w:t>
      </w:r>
    </w:p>
    <w:p>
      <w:pPr>
        <w:pStyle w:val="16"/>
        <w:shd w:val="clear" w:color="auto" w:fill="auto"/>
        <w:tabs>
          <w:tab w:val="left" w:pos="382"/>
        </w:tabs>
        <w:autoSpaceDE w:val="0"/>
        <w:autoSpaceDN w:val="0"/>
        <w:spacing w:before="0"/>
        <w:rPr>
          <w:rFonts w:hint="eastAsia" w:ascii="仿宋" w:hAnsi="仿宋" w:eastAsia="仿宋" w:cs="仿宋"/>
          <w:sz w:val="32"/>
          <w:szCs w:val="32"/>
        </w:rPr>
      </w:pPr>
      <w:r>
        <w:rPr>
          <w:rFonts w:hint="eastAsia" w:ascii="仿宋" w:hAnsi="仿宋" w:eastAsia="仿宋" w:cs="仿宋"/>
          <w:sz w:val="32"/>
          <w:szCs w:val="32"/>
        </w:rPr>
        <w:t>部门预算单位构成</w:t>
      </w:r>
    </w:p>
    <w:p>
      <w:pPr>
        <w:pStyle w:val="16"/>
        <w:shd w:val="clear" w:color="auto" w:fill="auto"/>
        <w:tabs>
          <w:tab w:val="left" w:pos="382"/>
        </w:tabs>
        <w:autoSpaceDE w:val="0"/>
        <w:autoSpaceDN w:val="0"/>
        <w:spacing w:before="0"/>
        <w:rPr>
          <w:rFonts w:hint="eastAsia"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21</w:t>
      </w:r>
      <w:r>
        <w:rPr>
          <w:rFonts w:hint="eastAsia" w:ascii="仿宋" w:hAnsi="仿宋" w:eastAsia="仿宋" w:cs="仿宋"/>
          <w:sz w:val="32"/>
          <w:szCs w:val="32"/>
        </w:rPr>
        <w:t>年度主要工作任务</w:t>
      </w:r>
    </w:p>
    <w:p>
      <w:pPr>
        <w:pStyle w:val="14"/>
        <w:shd w:val="clear" w:color="auto" w:fill="auto"/>
        <w:autoSpaceDE w:val="0"/>
        <w:autoSpaceDN w:val="0"/>
        <w:spacing w:after="0" w:line="538" w:lineRule="exact"/>
        <w:rPr>
          <w:rFonts w:hint="eastAsia" w:ascii="仿宋" w:hAnsi="仿宋" w:eastAsia="仿宋" w:cs="仿宋"/>
          <w:sz w:val="32"/>
          <w:szCs w:val="32"/>
        </w:rPr>
      </w:pPr>
      <w:r>
        <w:rPr>
          <w:rFonts w:hint="eastAsia" w:ascii="仿宋" w:hAnsi="仿宋" w:eastAsia="仿宋" w:cs="仿宋"/>
          <w:sz w:val="32"/>
          <w:szCs w:val="32"/>
        </w:rPr>
        <w:t>第二部分</w:t>
      </w:r>
      <w:r>
        <w:rPr>
          <w:rFonts w:hint="eastAsia" w:ascii="仿宋" w:hAnsi="仿宋" w:eastAsia="仿宋" w:cs="仿宋"/>
          <w:sz w:val="32"/>
          <w:szCs w:val="32"/>
          <w:lang w:val="en-US"/>
        </w:rPr>
        <w:t xml:space="preserve"> </w:t>
      </w:r>
      <w:r>
        <w:rPr>
          <w:rFonts w:hint="eastAsia" w:ascii="仿宋" w:hAnsi="仿宋" w:eastAsia="仿宋" w:cs="仿宋"/>
          <w:sz w:val="32"/>
          <w:szCs w:val="32"/>
        </w:rPr>
        <w:t>20</w:t>
      </w:r>
      <w:r>
        <w:rPr>
          <w:rFonts w:hint="eastAsia" w:ascii="仿宋" w:hAnsi="仿宋" w:eastAsia="仿宋" w:cs="仿宋"/>
          <w:sz w:val="32"/>
          <w:szCs w:val="32"/>
          <w:lang w:val="en-US" w:eastAsia="zh-CN"/>
        </w:rPr>
        <w:t>21</w:t>
      </w:r>
      <w:r>
        <w:rPr>
          <w:rFonts w:hint="eastAsia" w:ascii="仿宋" w:hAnsi="仿宋" w:eastAsia="仿宋" w:cs="仿宋"/>
          <w:sz w:val="32"/>
          <w:szCs w:val="32"/>
        </w:rPr>
        <w:t>年部门预算情况说明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rPr>
      </w:pPr>
      <w:r>
        <w:rPr>
          <w:rFonts w:hint="eastAsia" w:ascii="仿宋" w:hAnsi="仿宋" w:eastAsia="仿宋" w:cs="仿宋"/>
          <w:b w:val="0"/>
          <w:bCs w:val="0"/>
          <w:sz w:val="32"/>
          <w:szCs w:val="32"/>
        </w:rPr>
        <w:t>1.关于20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rPr>
        <w:t>年财政拨款收支预算总体情况说明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rPr>
      </w:pPr>
      <w:r>
        <w:rPr>
          <w:rFonts w:hint="eastAsia" w:ascii="仿宋" w:hAnsi="仿宋" w:eastAsia="仿宋" w:cs="仿宋"/>
          <w:b w:val="0"/>
          <w:bCs w:val="0"/>
          <w:sz w:val="32"/>
          <w:szCs w:val="32"/>
        </w:rPr>
        <w:t>2.关于20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rPr>
        <w:t>年一般公共预算财政拨款情况说明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rPr>
      </w:pPr>
      <w:r>
        <w:rPr>
          <w:rFonts w:hint="eastAsia" w:ascii="仿宋" w:hAnsi="仿宋" w:eastAsia="仿宋" w:cs="仿宋"/>
          <w:b w:val="0"/>
          <w:bCs w:val="0"/>
          <w:sz w:val="32"/>
          <w:szCs w:val="32"/>
        </w:rPr>
        <w:t>3.关于20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rPr>
        <w:t>年一般公共预算基本支出情况说明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rPr>
      </w:pPr>
      <w:r>
        <w:rPr>
          <w:rFonts w:hint="eastAsia" w:ascii="仿宋" w:hAnsi="仿宋" w:eastAsia="仿宋" w:cs="仿宋"/>
          <w:b w:val="0"/>
          <w:bCs w:val="0"/>
          <w:sz w:val="32"/>
          <w:szCs w:val="32"/>
        </w:rPr>
        <w:t>4.关于20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rPr>
        <w:t>年政府性基金预算拨款情况说明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rPr>
      </w:pPr>
      <w:r>
        <w:rPr>
          <w:rFonts w:hint="eastAsia" w:ascii="仿宋" w:hAnsi="仿宋" w:eastAsia="仿宋" w:cs="仿宋"/>
          <w:b w:val="0"/>
          <w:bCs w:val="0"/>
          <w:sz w:val="32"/>
          <w:szCs w:val="32"/>
          <w:lang w:val="en-US"/>
        </w:rPr>
        <w:t>5</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rPr>
        <w:t>年收支预算总体情况说明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rPr>
      </w:pPr>
      <w:r>
        <w:rPr>
          <w:rFonts w:hint="eastAsia" w:ascii="仿宋" w:hAnsi="仿宋" w:eastAsia="仿宋" w:cs="仿宋"/>
          <w:b w:val="0"/>
          <w:bCs w:val="0"/>
          <w:sz w:val="32"/>
          <w:szCs w:val="32"/>
          <w:lang w:val="en-US"/>
        </w:rPr>
        <w:t>6</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rPr>
        <w:t>年收入预算情况说明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rPr>
      </w:pPr>
      <w:r>
        <w:rPr>
          <w:rFonts w:hint="eastAsia" w:ascii="仿宋" w:hAnsi="仿宋" w:eastAsia="仿宋" w:cs="仿宋"/>
          <w:b w:val="0"/>
          <w:bCs w:val="0"/>
          <w:sz w:val="32"/>
          <w:szCs w:val="32"/>
          <w:lang w:val="en-US"/>
        </w:rPr>
        <w:t>7</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rPr>
        <w:t>年支出预算情况说明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rPr>
      </w:pPr>
      <w:r>
        <w:rPr>
          <w:rFonts w:hint="eastAsia" w:ascii="仿宋" w:hAnsi="仿宋" w:eastAsia="仿宋" w:cs="仿宋"/>
          <w:b w:val="0"/>
          <w:bCs w:val="0"/>
          <w:sz w:val="32"/>
          <w:szCs w:val="32"/>
          <w:lang w:val="en-US"/>
        </w:rPr>
        <w:t>8</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rPr>
        <w:t>年国有资本经营预算拨款情况说明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rPr>
        <w:t>9.批复绩效目标的项目及绩效目标设置情况说明</w:t>
      </w:r>
    </w:p>
    <w:p>
      <w:pPr>
        <w:pStyle w:val="14"/>
        <w:shd w:val="clear" w:color="auto" w:fill="auto"/>
        <w:autoSpaceDE w:val="0"/>
        <w:autoSpaceDN w:val="0"/>
        <w:spacing w:after="0" w:line="538" w:lineRule="exact"/>
        <w:rPr>
          <w:rFonts w:hint="eastAsia" w:ascii="仿宋" w:hAnsi="仿宋" w:eastAsia="仿宋" w:cs="仿宋"/>
          <w:b w:val="0"/>
          <w:bCs w:val="0"/>
          <w:sz w:val="32"/>
          <w:szCs w:val="32"/>
        </w:rPr>
      </w:pPr>
      <w:r>
        <w:rPr>
          <w:rFonts w:hint="eastAsia" w:ascii="仿宋" w:hAnsi="仿宋" w:eastAsia="仿宋" w:cs="仿宋"/>
          <w:b w:val="0"/>
          <w:bCs w:val="0"/>
          <w:sz w:val="32"/>
          <w:szCs w:val="32"/>
          <w:lang w:val="en-US"/>
        </w:rPr>
        <w:t>10</w:t>
      </w:r>
      <w:r>
        <w:rPr>
          <w:rFonts w:hint="eastAsia" w:ascii="仿宋" w:hAnsi="仿宋" w:eastAsia="仿宋" w:cs="仿宋"/>
          <w:b w:val="0"/>
          <w:bCs w:val="0"/>
          <w:sz w:val="32"/>
          <w:szCs w:val="32"/>
        </w:rPr>
        <w:t xml:space="preserve">.其他重要事项情况说明（含机关运行经费、政府采购预算、政府购买服务预算、国有资产占用情况等说明） </w:t>
      </w:r>
    </w:p>
    <w:p>
      <w:pPr>
        <w:pStyle w:val="16"/>
        <w:shd w:val="clear" w:color="auto" w:fill="auto"/>
        <w:tabs>
          <w:tab w:val="left" w:pos="392"/>
        </w:tabs>
        <w:autoSpaceDE w:val="0"/>
        <w:autoSpaceDN w:val="0"/>
        <w:spacing w:before="0" w:after="0" w:line="538" w:lineRule="exact"/>
        <w:rPr>
          <w:rStyle w:val="18"/>
          <w:rFonts w:hint="eastAsia" w:ascii="仿宋" w:hAnsi="仿宋" w:eastAsia="仿宋" w:cs="仿宋"/>
          <w:sz w:val="32"/>
          <w:szCs w:val="32"/>
        </w:rPr>
      </w:pPr>
      <w:r>
        <w:rPr>
          <w:rStyle w:val="18"/>
          <w:rFonts w:hint="eastAsia" w:ascii="仿宋" w:hAnsi="仿宋" w:eastAsia="仿宋" w:cs="仿宋"/>
          <w:sz w:val="32"/>
          <w:szCs w:val="32"/>
        </w:rPr>
        <w:t>第三部分</w:t>
      </w:r>
      <w:r>
        <w:rPr>
          <w:rStyle w:val="18"/>
          <w:rFonts w:hint="eastAsia" w:ascii="仿宋" w:hAnsi="仿宋" w:eastAsia="仿宋" w:cs="仿宋"/>
          <w:sz w:val="32"/>
          <w:szCs w:val="32"/>
          <w:lang w:val="en-US"/>
        </w:rPr>
        <w:t xml:space="preserve"> </w:t>
      </w:r>
      <w:r>
        <w:rPr>
          <w:rStyle w:val="18"/>
          <w:rFonts w:hint="eastAsia" w:ascii="仿宋" w:hAnsi="仿宋" w:eastAsia="仿宋" w:cs="仿宋"/>
          <w:sz w:val="32"/>
          <w:szCs w:val="32"/>
        </w:rPr>
        <w:t>名词解释</w:t>
      </w:r>
    </w:p>
    <w:p>
      <w:pPr>
        <w:pStyle w:val="16"/>
        <w:shd w:val="clear" w:color="auto" w:fill="auto"/>
        <w:tabs>
          <w:tab w:val="left" w:pos="392"/>
        </w:tabs>
        <w:autoSpaceDE w:val="0"/>
        <w:autoSpaceDN w:val="0"/>
        <w:spacing w:before="0" w:after="0" w:line="538" w:lineRule="exact"/>
        <w:rPr>
          <w:rStyle w:val="18"/>
          <w:rFonts w:hint="eastAsia" w:ascii="仿宋" w:hAnsi="仿宋" w:eastAsia="仿宋" w:cs="仿宋"/>
          <w:sz w:val="32"/>
          <w:szCs w:val="32"/>
        </w:rPr>
      </w:pPr>
      <w:r>
        <w:rPr>
          <w:rStyle w:val="18"/>
          <w:rFonts w:hint="eastAsia" w:ascii="仿宋" w:hAnsi="仿宋" w:eastAsia="仿宋" w:cs="仿宋"/>
          <w:sz w:val="32"/>
          <w:szCs w:val="32"/>
        </w:rPr>
        <w:t>第四部分</w:t>
      </w:r>
      <w:r>
        <w:rPr>
          <w:rStyle w:val="18"/>
          <w:rFonts w:hint="eastAsia" w:ascii="仿宋" w:hAnsi="仿宋" w:eastAsia="仿宋" w:cs="仿宋"/>
          <w:sz w:val="32"/>
          <w:szCs w:val="32"/>
          <w:lang w:val="en-US"/>
        </w:rPr>
        <w:t xml:space="preserve"> </w:t>
      </w:r>
      <w:r>
        <w:rPr>
          <w:rStyle w:val="18"/>
          <w:rFonts w:hint="eastAsia" w:ascii="仿宋" w:hAnsi="仿宋" w:eastAsia="仿宋" w:cs="仿宋"/>
          <w:sz w:val="32"/>
          <w:szCs w:val="32"/>
        </w:rPr>
        <w:t>20</w:t>
      </w:r>
      <w:r>
        <w:rPr>
          <w:rStyle w:val="18"/>
          <w:rFonts w:hint="eastAsia" w:ascii="仿宋" w:hAnsi="仿宋" w:eastAsia="仿宋" w:cs="仿宋"/>
          <w:sz w:val="32"/>
          <w:szCs w:val="32"/>
          <w:lang w:val="en-US" w:eastAsia="zh-CN"/>
        </w:rPr>
        <w:t>21</w:t>
      </w:r>
      <w:r>
        <w:rPr>
          <w:rStyle w:val="18"/>
          <w:rFonts w:hint="eastAsia" w:ascii="仿宋" w:hAnsi="仿宋" w:eastAsia="仿宋" w:cs="仿宋"/>
          <w:sz w:val="32"/>
          <w:szCs w:val="32"/>
        </w:rPr>
        <w:t>年部门预算表（附表）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eastAsia="zh-CN"/>
        </w:rPr>
        <w:t>1.</w:t>
      </w:r>
      <w:r>
        <w:rPr>
          <w:rFonts w:hint="eastAsia" w:ascii="仿宋" w:hAnsi="仿宋" w:eastAsia="仿宋" w:cs="仿宋"/>
          <w:b w:val="0"/>
          <w:bCs w:val="0"/>
          <w:sz w:val="32"/>
          <w:szCs w:val="32"/>
          <w:lang w:val="en-US"/>
        </w:rPr>
        <w:t>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年部门财政拨款收支预算总表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eastAsia="zh-CN"/>
        </w:rPr>
        <w:t>2.</w:t>
      </w:r>
      <w:r>
        <w:rPr>
          <w:rFonts w:hint="eastAsia" w:ascii="仿宋" w:hAnsi="仿宋" w:eastAsia="仿宋" w:cs="仿宋"/>
          <w:b w:val="0"/>
          <w:bCs w:val="0"/>
          <w:sz w:val="32"/>
          <w:szCs w:val="32"/>
          <w:lang w:val="en-US"/>
        </w:rPr>
        <w:t>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年部门一般公共预算支出预算表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lang w:val="en-US"/>
        </w:rPr>
        <w:t>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年部门一般公共预算基本支出预算表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lang w:val="en-US"/>
        </w:rPr>
        <w:t>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年部门政府性基金预算支出预算表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eastAsia="zh-CN"/>
        </w:rPr>
        <w:t>5.</w:t>
      </w:r>
      <w:r>
        <w:rPr>
          <w:rFonts w:hint="eastAsia" w:ascii="仿宋" w:hAnsi="仿宋" w:eastAsia="仿宋" w:cs="仿宋"/>
          <w:b w:val="0"/>
          <w:bCs w:val="0"/>
          <w:sz w:val="32"/>
          <w:szCs w:val="32"/>
          <w:lang w:val="en-US"/>
        </w:rPr>
        <w:t>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年部门收支预算总表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eastAsia="zh-CN"/>
        </w:rPr>
        <w:t>6.</w:t>
      </w:r>
      <w:r>
        <w:rPr>
          <w:rFonts w:hint="eastAsia" w:ascii="仿宋" w:hAnsi="仿宋" w:eastAsia="仿宋" w:cs="仿宋"/>
          <w:b w:val="0"/>
          <w:bCs w:val="0"/>
          <w:sz w:val="32"/>
          <w:szCs w:val="32"/>
          <w:lang w:val="en-US"/>
        </w:rPr>
        <w:t>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年部门收入预算总表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eastAsia="zh-CN"/>
        </w:rPr>
        <w:t>7.</w:t>
      </w:r>
      <w:r>
        <w:rPr>
          <w:rFonts w:hint="eastAsia" w:ascii="仿宋" w:hAnsi="仿宋" w:eastAsia="仿宋" w:cs="仿宋"/>
          <w:b w:val="0"/>
          <w:bCs w:val="0"/>
          <w:sz w:val="32"/>
          <w:szCs w:val="32"/>
          <w:lang w:val="en-US"/>
        </w:rPr>
        <w:t>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年部门支出预算总表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eastAsia="zh-CN"/>
        </w:rPr>
        <w:t>8.</w:t>
      </w:r>
      <w:r>
        <w:rPr>
          <w:rFonts w:hint="eastAsia" w:ascii="仿宋" w:hAnsi="仿宋" w:eastAsia="仿宋" w:cs="仿宋"/>
          <w:b w:val="0"/>
          <w:bCs w:val="0"/>
          <w:sz w:val="32"/>
          <w:szCs w:val="32"/>
          <w:lang w:val="en-US"/>
        </w:rPr>
        <w:t>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年部门国有资本经营预算支出预算表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eastAsia="zh-CN"/>
        </w:rPr>
        <w:t>9.</w:t>
      </w:r>
      <w:r>
        <w:rPr>
          <w:rFonts w:hint="eastAsia" w:ascii="仿宋" w:hAnsi="仿宋" w:eastAsia="仿宋" w:cs="仿宋"/>
          <w:b w:val="0"/>
          <w:bCs w:val="0"/>
          <w:sz w:val="32"/>
          <w:szCs w:val="32"/>
          <w:lang w:val="en-US"/>
        </w:rPr>
        <w:t>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年部门政府采购预算表</w:t>
      </w:r>
    </w:p>
    <w:p>
      <w:pPr>
        <w:pStyle w:val="14"/>
        <w:shd w:val="clear" w:color="auto" w:fill="auto"/>
        <w:autoSpaceDE w:val="0"/>
        <w:autoSpaceDN w:val="0"/>
        <w:spacing w:after="0" w:line="538" w:lineRule="exact"/>
        <w:rPr>
          <w:rFonts w:hint="eastAsia" w:ascii="仿宋" w:hAnsi="仿宋" w:eastAsia="仿宋" w:cs="仿宋"/>
          <w:b w:val="0"/>
          <w:bCs w:val="0"/>
          <w:sz w:val="32"/>
          <w:szCs w:val="32"/>
          <w:lang w:val="en-US"/>
        </w:rPr>
      </w:pPr>
      <w:r>
        <w:rPr>
          <w:rFonts w:hint="eastAsia" w:ascii="仿宋" w:hAnsi="仿宋" w:eastAsia="仿宋" w:cs="仿宋"/>
          <w:b w:val="0"/>
          <w:bCs w:val="0"/>
          <w:sz w:val="32"/>
          <w:szCs w:val="32"/>
          <w:lang w:val="en-US"/>
        </w:rPr>
        <w:t>10.20</w:t>
      </w:r>
      <w:r>
        <w:rPr>
          <w:rFonts w:hint="eastAsia" w:ascii="仿宋" w:hAnsi="仿宋" w:eastAsia="仿宋" w:cs="仿宋"/>
          <w:b w:val="0"/>
          <w:bCs w:val="0"/>
          <w:sz w:val="32"/>
          <w:szCs w:val="32"/>
          <w:lang w:val="en-US" w:eastAsia="zh-CN"/>
        </w:rPr>
        <w:t>21</w:t>
      </w:r>
      <w:r>
        <w:rPr>
          <w:rFonts w:hint="eastAsia" w:ascii="仿宋" w:hAnsi="仿宋" w:eastAsia="仿宋" w:cs="仿宋"/>
          <w:b w:val="0"/>
          <w:bCs w:val="0"/>
          <w:sz w:val="32"/>
          <w:szCs w:val="32"/>
          <w:lang w:val="en-US"/>
        </w:rPr>
        <w:t>年政府购买服务预算表</w:t>
      </w:r>
    </w:p>
    <w:p>
      <w:pPr>
        <w:pStyle w:val="20"/>
        <w:shd w:val="clear" w:color="auto" w:fill="auto"/>
        <w:spacing w:after="81"/>
        <w:ind w:left="80"/>
        <w:rPr>
          <w:rFonts w:hint="eastAsia" w:asciiTheme="minorEastAsia" w:hAnsiTheme="minorEastAsia" w:eastAsiaTheme="minorEastAsia" w:cstheme="minorEastAsia"/>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ind w:left="80"/>
        <w:rPr>
          <w:sz w:val="28"/>
          <w:szCs w:val="28"/>
        </w:rPr>
      </w:pPr>
    </w:p>
    <w:p>
      <w:pPr>
        <w:pStyle w:val="20"/>
        <w:shd w:val="clear" w:color="auto" w:fill="auto"/>
        <w:spacing w:after="81" w:line="360" w:lineRule="auto"/>
        <w:jc w:val="both"/>
        <w:rPr>
          <w:sz w:val="28"/>
          <w:szCs w:val="28"/>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8"/>
          <w:szCs w:val="28"/>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8"/>
          <w:szCs w:val="28"/>
        </w:rPr>
      </w:pPr>
    </w:p>
    <w:p>
      <w:pPr>
        <w:pStyle w:val="3"/>
        <w:autoSpaceDE w:val="0"/>
        <w:autoSpaceDN w:val="0"/>
        <w:spacing w:before="4" w:line="560" w:lineRule="exact"/>
        <w:ind w:right="975" w:firstLine="640" w:firstLineChars="200"/>
        <w:jc w:val="both"/>
        <w:rPr>
          <w:rFonts w:hint="eastAsia" w:ascii="黑体" w:hAnsi="黑体" w:eastAsia="黑体" w:cs="黑体"/>
        </w:rPr>
      </w:pPr>
      <w:r>
        <w:rPr>
          <w:rFonts w:hint="eastAsia" w:ascii="黑体" w:hAnsi="黑体" w:eastAsia="黑体" w:cs="黑体"/>
        </w:rPr>
        <w:t>第一部分</w:t>
      </w:r>
      <w:r>
        <w:rPr>
          <w:rFonts w:hint="eastAsia" w:ascii="黑体" w:hAnsi="黑体" w:eastAsia="黑体" w:cs="黑体"/>
          <w:lang w:val="en-US"/>
        </w:rPr>
        <w:t xml:space="preserve"> </w:t>
      </w:r>
      <w:r>
        <w:rPr>
          <w:rFonts w:hint="eastAsia" w:ascii="黑体" w:hAnsi="黑体" w:eastAsia="黑体" w:cs="黑体"/>
        </w:rPr>
        <w:t>部门概况</w:t>
      </w:r>
    </w:p>
    <w:p>
      <w:pPr>
        <w:pStyle w:val="3"/>
        <w:autoSpaceDE w:val="0"/>
        <w:autoSpaceDN w:val="0"/>
        <w:spacing w:before="4" w:line="560" w:lineRule="exact"/>
        <w:ind w:right="975" w:firstLine="643" w:firstLineChars="200"/>
        <w:jc w:val="both"/>
        <w:rPr>
          <w:rFonts w:hint="eastAsia"/>
          <w:b/>
          <w:bCs/>
        </w:rPr>
      </w:pPr>
      <w:r>
        <w:rPr>
          <w:rFonts w:hint="eastAsia"/>
          <w:b/>
          <w:bCs/>
        </w:rPr>
        <w:t>一、主要职责</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(一)领导全县共青团工作。</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(二)领导和指导全县少先队以及青少年社会团体工作；参与民主管理和民主监督；</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参与协调处理各种与青少年利益相关的工作。</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(三)调查青年思想动态和青年工作情况，研究青年运动、青少年工作理论、青少年思想教育、青少年事业发展等项工作，</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为县委、县政府决策提供依据，为开展各项活动，切实履行团的四项基本职能打好基础。</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(四) 负责全县共青团组织建设，协助党组织管理、选拔和培训共青团干部。</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(五) 负责组织、指导全县各级团组织搞好青少年事业发展的管理工作。组织全县青少年的思想理论教育，宣传文化活动</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和活动阵地建设，培养、选拔、表彰并推荐优秀青年。</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(六) 承担全县希望工程领导小组、未成年人保护委员会、预防青少年违法犯罪领导小组具体事务。</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(七)完成县委、县政府和上级团委交办的其它任务。</w:t>
      </w:r>
    </w:p>
    <w:p>
      <w:pPr>
        <w:pStyle w:val="3"/>
        <w:autoSpaceDE w:val="0"/>
        <w:autoSpaceDN w:val="0"/>
        <w:spacing w:before="4" w:line="560" w:lineRule="exact"/>
        <w:ind w:right="975" w:firstLine="643" w:firstLineChars="200"/>
        <w:jc w:val="both"/>
        <w:rPr>
          <w:rFonts w:hint="eastAsia"/>
          <w:b/>
          <w:bCs/>
        </w:rPr>
      </w:pPr>
      <w:r>
        <w:rPr>
          <w:rFonts w:hint="eastAsia"/>
          <w:b/>
          <w:bCs/>
        </w:rPr>
        <w:t>二、部门预算单位构成</w:t>
      </w:r>
    </w:p>
    <w:p>
      <w:pPr>
        <w:pStyle w:val="3"/>
        <w:autoSpaceDE w:val="0"/>
        <w:autoSpaceDN w:val="0"/>
        <w:spacing w:before="4" w:line="560" w:lineRule="exact"/>
        <w:ind w:right="975" w:firstLine="640" w:firstLineChars="200"/>
        <w:jc w:val="both"/>
        <w:rPr>
          <w:rFonts w:hint="eastAsia"/>
        </w:rPr>
      </w:pPr>
      <w:r>
        <w:rPr>
          <w:rFonts w:hint="eastAsia"/>
          <w:lang w:eastAsia="zh-CN"/>
        </w:rPr>
        <w:t>石台县</w:t>
      </w:r>
      <w:r>
        <w:rPr>
          <w:rFonts w:hint="eastAsia"/>
          <w:lang w:val="en-US" w:eastAsia="zh-CN"/>
        </w:rPr>
        <w:t>团县委</w:t>
      </w:r>
      <w:r>
        <w:rPr>
          <w:rFonts w:hint="eastAsia"/>
          <w:lang w:val="en-US"/>
        </w:rPr>
        <w:t>无下属预算单位</w:t>
      </w:r>
      <w:r>
        <w:rPr>
          <w:rFonts w:hint="eastAsia"/>
        </w:rPr>
        <w:t>，20</w:t>
      </w:r>
      <w:r>
        <w:rPr>
          <w:rFonts w:hint="eastAsia"/>
          <w:lang w:val="en-US" w:eastAsia="zh-CN"/>
        </w:rPr>
        <w:t>20</w:t>
      </w:r>
      <w:r>
        <w:rPr>
          <w:rFonts w:hint="eastAsia"/>
        </w:rPr>
        <w:t>年度部门预算由本级</w:t>
      </w:r>
      <w:r>
        <w:rPr>
          <w:rFonts w:hint="eastAsia"/>
          <w:lang w:val="en-US" w:eastAsia="zh-CN"/>
        </w:rPr>
        <w:t>1个</w:t>
      </w:r>
      <w:r>
        <w:rPr>
          <w:rFonts w:hint="eastAsia"/>
        </w:rPr>
        <w:t>预算</w:t>
      </w:r>
      <w:r>
        <w:rPr>
          <w:rFonts w:hint="eastAsia"/>
          <w:lang w:eastAsia="zh-CN"/>
        </w:rPr>
        <w:t>单位</w:t>
      </w:r>
      <w:r>
        <w:rPr>
          <w:rFonts w:hint="eastAsia"/>
        </w:rPr>
        <w:t>组成，纳入部门预算编制范围的单位共</w:t>
      </w:r>
      <w:r>
        <w:rPr>
          <w:rFonts w:hint="eastAsia"/>
          <w:lang w:val="en-US" w:eastAsia="zh-CN"/>
        </w:rPr>
        <w:t>1</w:t>
      </w:r>
      <w:r>
        <w:rPr>
          <w:rFonts w:hint="eastAsia"/>
        </w:rPr>
        <w:t>个，具体情况见下表。</w:t>
      </w:r>
    </w:p>
    <w:p>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p>
    <w:tbl>
      <w:tblPr>
        <w:tblStyle w:val="5"/>
        <w:tblpPr w:leftFromText="180" w:rightFromText="180" w:vertAnchor="text" w:horzAnchor="page" w:tblpX="1400" w:tblpY="151"/>
        <w:tblOverlap w:val="never"/>
        <w:tblW w:w="9014" w:type="dxa"/>
        <w:tblInd w:w="0" w:type="dxa"/>
        <w:tblLayout w:type="fixed"/>
        <w:tblCellMar>
          <w:top w:w="0" w:type="dxa"/>
          <w:left w:w="10" w:type="dxa"/>
          <w:bottom w:w="0" w:type="dxa"/>
          <w:right w:w="10" w:type="dxa"/>
        </w:tblCellMar>
      </w:tblPr>
      <w:tblGrid>
        <w:gridCol w:w="1210"/>
        <w:gridCol w:w="4291"/>
        <w:gridCol w:w="3513"/>
      </w:tblGrid>
      <w:tr>
        <w:tblPrEx>
          <w:tblCellMar>
            <w:top w:w="0" w:type="dxa"/>
            <w:left w:w="10" w:type="dxa"/>
            <w:bottom w:w="0" w:type="dxa"/>
            <w:right w:w="10" w:type="dxa"/>
          </w:tblCellMar>
        </w:tblPrEx>
        <w:trPr>
          <w:trHeight w:val="408" w:hRule="exact"/>
        </w:trPr>
        <w:tc>
          <w:tcPr>
            <w:tcW w:w="1210" w:type="dxa"/>
            <w:tcBorders>
              <w:top w:val="single" w:color="auto" w:sz="4" w:space="0"/>
              <w:left w:val="single" w:color="auto" w:sz="4" w:space="0"/>
            </w:tcBorders>
            <w:shd w:val="clear" w:color="auto" w:fill="FFFFFF"/>
            <w:vAlign w:val="center"/>
          </w:tcPr>
          <w:p>
            <w:pPr>
              <w:pStyle w:val="16"/>
              <w:shd w:val="clear" w:color="auto" w:fill="auto"/>
              <w:autoSpaceDE w:val="0"/>
              <w:autoSpaceDN w:val="0"/>
              <w:spacing w:before="0" w:after="0" w:line="360" w:lineRule="auto"/>
              <w:ind w:firstLine="280" w:firstLineChars="100"/>
              <w:jc w:val="both"/>
              <w:rPr>
                <w:rStyle w:val="48"/>
                <w:rFonts w:hint="eastAsia" w:ascii="仿宋" w:hAnsi="仿宋" w:eastAsia="仿宋" w:cs="仿宋"/>
                <w:lang w:val="en-US"/>
              </w:rPr>
            </w:pPr>
            <w:r>
              <w:rPr>
                <w:rStyle w:val="48"/>
                <w:rFonts w:hint="eastAsia" w:ascii="仿宋" w:hAnsi="仿宋" w:eastAsia="仿宋" w:cs="仿宋"/>
                <w:lang w:val="en-US" w:eastAsia="zh-CN"/>
              </w:rPr>
              <w:t>序号</w:t>
            </w:r>
          </w:p>
        </w:tc>
        <w:tc>
          <w:tcPr>
            <w:tcW w:w="4291" w:type="dxa"/>
            <w:tcBorders>
              <w:top w:val="single" w:color="auto" w:sz="4" w:space="0"/>
              <w:left w:val="single" w:color="auto" w:sz="4" w:space="0"/>
            </w:tcBorders>
            <w:shd w:val="clear" w:color="auto" w:fill="FFFFFF"/>
            <w:vAlign w:val="center"/>
          </w:tcPr>
          <w:p>
            <w:pPr>
              <w:pStyle w:val="16"/>
              <w:shd w:val="clear" w:color="auto" w:fill="auto"/>
              <w:autoSpaceDE w:val="0"/>
              <w:autoSpaceDN w:val="0"/>
              <w:spacing w:before="0" w:after="0" w:line="360" w:lineRule="auto"/>
              <w:ind w:firstLine="560" w:firstLineChars="200"/>
              <w:jc w:val="center"/>
              <w:rPr>
                <w:rStyle w:val="48"/>
                <w:rFonts w:hint="eastAsia" w:ascii="仿宋" w:hAnsi="仿宋" w:eastAsia="仿宋" w:cs="仿宋"/>
                <w:lang w:val="en-US"/>
              </w:rPr>
            </w:pPr>
            <w:r>
              <w:rPr>
                <w:rStyle w:val="48"/>
                <w:rFonts w:hint="eastAsia" w:ascii="仿宋" w:hAnsi="仿宋" w:eastAsia="仿宋" w:cs="仿宋"/>
                <w:lang w:val="en-US"/>
              </w:rPr>
              <w:t>单位名称</w:t>
            </w:r>
          </w:p>
        </w:tc>
        <w:tc>
          <w:tcPr>
            <w:tcW w:w="3513" w:type="dxa"/>
            <w:tcBorders>
              <w:top w:val="single" w:color="auto" w:sz="4" w:space="0"/>
              <w:left w:val="single" w:color="auto" w:sz="4" w:space="0"/>
              <w:right w:val="single" w:color="auto" w:sz="4" w:space="0"/>
            </w:tcBorders>
            <w:shd w:val="clear" w:color="auto" w:fill="FFFFFF"/>
            <w:vAlign w:val="center"/>
          </w:tcPr>
          <w:p>
            <w:pPr>
              <w:pStyle w:val="16"/>
              <w:shd w:val="clear" w:color="auto" w:fill="auto"/>
              <w:autoSpaceDE w:val="0"/>
              <w:autoSpaceDN w:val="0"/>
              <w:spacing w:before="0" w:after="0" w:line="360" w:lineRule="auto"/>
              <w:ind w:firstLine="560" w:firstLineChars="200"/>
              <w:jc w:val="center"/>
              <w:rPr>
                <w:rStyle w:val="48"/>
                <w:rFonts w:hint="eastAsia" w:ascii="仿宋" w:hAnsi="仿宋" w:eastAsia="仿宋" w:cs="仿宋"/>
                <w:lang w:val="en-US"/>
              </w:rPr>
            </w:pPr>
            <w:r>
              <w:rPr>
                <w:rStyle w:val="48"/>
                <w:rFonts w:hint="eastAsia" w:ascii="仿宋" w:hAnsi="仿宋" w:eastAsia="仿宋" w:cs="仿宋"/>
                <w:lang w:val="en-US"/>
              </w:rPr>
              <w:t>单位性质</w:t>
            </w:r>
          </w:p>
        </w:tc>
      </w:tr>
      <w:tr>
        <w:tblPrEx>
          <w:tblCellMar>
            <w:top w:w="0" w:type="dxa"/>
            <w:left w:w="10" w:type="dxa"/>
            <w:bottom w:w="0" w:type="dxa"/>
            <w:right w:w="10" w:type="dxa"/>
          </w:tblCellMar>
        </w:tblPrEx>
        <w:trPr>
          <w:trHeight w:val="413" w:hRule="exact"/>
        </w:trPr>
        <w:tc>
          <w:tcPr>
            <w:tcW w:w="1210" w:type="dxa"/>
            <w:tcBorders>
              <w:top w:val="single" w:color="auto" w:sz="4" w:space="0"/>
              <w:left w:val="single" w:color="auto" w:sz="4" w:space="0"/>
              <w:bottom w:val="single" w:color="auto" w:sz="4" w:space="0"/>
            </w:tcBorders>
            <w:shd w:val="clear" w:color="auto" w:fill="FFFFFF"/>
            <w:vAlign w:val="center"/>
          </w:tcPr>
          <w:p>
            <w:pPr>
              <w:pStyle w:val="16"/>
              <w:shd w:val="clear" w:color="auto" w:fill="auto"/>
              <w:autoSpaceDE w:val="0"/>
              <w:autoSpaceDN w:val="0"/>
              <w:spacing w:before="0" w:after="0" w:line="360" w:lineRule="auto"/>
              <w:ind w:firstLine="560" w:firstLineChars="200"/>
              <w:jc w:val="both"/>
              <w:rPr>
                <w:rStyle w:val="48"/>
                <w:rFonts w:hint="eastAsia" w:ascii="仿宋" w:hAnsi="仿宋" w:eastAsia="仿宋" w:cs="仿宋"/>
                <w:lang w:val="en-US"/>
              </w:rPr>
            </w:pPr>
            <w:r>
              <w:rPr>
                <w:rStyle w:val="48"/>
                <w:rFonts w:hint="eastAsia" w:ascii="仿宋" w:hAnsi="仿宋" w:eastAsia="仿宋" w:cs="仿宋"/>
                <w:lang w:val="en-US"/>
              </w:rPr>
              <w:t>1</w:t>
            </w:r>
          </w:p>
        </w:tc>
        <w:tc>
          <w:tcPr>
            <w:tcW w:w="4291" w:type="dxa"/>
            <w:tcBorders>
              <w:top w:val="single" w:color="auto" w:sz="4" w:space="0"/>
              <w:left w:val="single" w:color="auto" w:sz="4" w:space="0"/>
              <w:bottom w:val="single" w:color="auto" w:sz="4" w:space="0"/>
            </w:tcBorders>
            <w:shd w:val="clear" w:color="auto" w:fill="FFFFFF"/>
            <w:vAlign w:val="center"/>
          </w:tcPr>
          <w:p>
            <w:pPr>
              <w:pStyle w:val="16"/>
              <w:shd w:val="clear" w:color="auto" w:fill="auto"/>
              <w:autoSpaceDE w:val="0"/>
              <w:autoSpaceDN w:val="0"/>
              <w:spacing w:before="0" w:after="0" w:line="360" w:lineRule="auto"/>
              <w:ind w:firstLine="560" w:firstLineChars="200"/>
              <w:jc w:val="center"/>
              <w:rPr>
                <w:rStyle w:val="48"/>
                <w:rFonts w:hint="eastAsia" w:ascii="仿宋" w:hAnsi="仿宋" w:eastAsia="仿宋" w:cs="仿宋"/>
                <w:lang w:val="en-US"/>
              </w:rPr>
            </w:pPr>
            <w:r>
              <w:rPr>
                <w:rStyle w:val="48"/>
                <w:rFonts w:hint="eastAsia" w:ascii="仿宋" w:hAnsi="仿宋" w:eastAsia="仿宋" w:cs="仿宋"/>
                <w:lang w:val="en-US"/>
              </w:rPr>
              <w:t>共青团石台县委员会本级</w:t>
            </w:r>
          </w:p>
        </w:tc>
        <w:tc>
          <w:tcPr>
            <w:tcW w:w="3513"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6"/>
              <w:shd w:val="clear" w:color="auto" w:fill="auto"/>
              <w:autoSpaceDE w:val="0"/>
              <w:autoSpaceDN w:val="0"/>
              <w:spacing w:before="0" w:after="0" w:line="360" w:lineRule="auto"/>
              <w:ind w:firstLine="560" w:firstLineChars="200"/>
              <w:jc w:val="center"/>
              <w:rPr>
                <w:rStyle w:val="48"/>
                <w:rFonts w:hint="eastAsia" w:ascii="仿宋" w:hAnsi="仿宋" w:eastAsia="仿宋" w:cs="仿宋"/>
                <w:lang w:val="en-US"/>
              </w:rPr>
            </w:pPr>
            <w:r>
              <w:rPr>
                <w:rStyle w:val="48"/>
                <w:rFonts w:hint="eastAsia" w:ascii="仿宋" w:hAnsi="仿宋" w:eastAsia="仿宋" w:cs="仿宋"/>
                <w:lang w:val="en-US"/>
              </w:rPr>
              <w:t>行政单位</w:t>
            </w:r>
          </w:p>
        </w:tc>
      </w:tr>
      <w:tr>
        <w:tblPrEx>
          <w:tblCellMar>
            <w:top w:w="0" w:type="dxa"/>
            <w:left w:w="10" w:type="dxa"/>
            <w:bottom w:w="0" w:type="dxa"/>
            <w:right w:w="10" w:type="dxa"/>
          </w:tblCellMar>
        </w:tblPrEx>
        <w:trPr>
          <w:trHeight w:val="430" w:hRule="exact"/>
        </w:trPr>
        <w:tc>
          <w:tcPr>
            <w:tcW w:w="1210" w:type="dxa"/>
            <w:tcBorders>
              <w:top w:val="single" w:color="auto" w:sz="4" w:space="0"/>
              <w:left w:val="single" w:color="auto" w:sz="4" w:space="0"/>
              <w:bottom w:val="single" w:color="auto" w:sz="4" w:space="0"/>
            </w:tcBorders>
            <w:shd w:val="clear" w:color="auto" w:fill="FFFFFF"/>
            <w:vAlign w:val="center"/>
          </w:tcPr>
          <w:p>
            <w:pPr>
              <w:pStyle w:val="16"/>
              <w:shd w:val="clear" w:color="auto" w:fill="auto"/>
              <w:autoSpaceDE w:val="0"/>
              <w:autoSpaceDN w:val="0"/>
              <w:spacing w:before="0" w:after="0" w:line="360" w:lineRule="auto"/>
              <w:ind w:firstLine="560" w:firstLineChars="200"/>
              <w:jc w:val="both"/>
              <w:rPr>
                <w:rStyle w:val="48"/>
                <w:rFonts w:hint="eastAsia" w:ascii="仿宋" w:hAnsi="仿宋" w:eastAsia="仿宋" w:cs="仿宋"/>
                <w:lang w:val="en-US"/>
              </w:rPr>
            </w:pPr>
            <w:r>
              <w:rPr>
                <w:rStyle w:val="48"/>
                <w:rFonts w:hint="eastAsia" w:ascii="仿宋" w:hAnsi="仿宋" w:eastAsia="仿宋" w:cs="仿宋"/>
                <w:lang w:val="en-US"/>
              </w:rPr>
              <w:t>2</w:t>
            </w:r>
          </w:p>
        </w:tc>
        <w:tc>
          <w:tcPr>
            <w:tcW w:w="4291" w:type="dxa"/>
            <w:tcBorders>
              <w:top w:val="single" w:color="auto" w:sz="4" w:space="0"/>
              <w:left w:val="single" w:color="auto" w:sz="4" w:space="0"/>
              <w:bottom w:val="single" w:color="auto" w:sz="4" w:space="0"/>
            </w:tcBorders>
            <w:shd w:val="clear" w:color="auto" w:fill="FFFFFF"/>
            <w:vAlign w:val="center"/>
          </w:tcPr>
          <w:p>
            <w:pPr>
              <w:pStyle w:val="16"/>
              <w:shd w:val="clear" w:color="auto" w:fill="auto"/>
              <w:autoSpaceDE w:val="0"/>
              <w:autoSpaceDN w:val="0"/>
              <w:spacing w:before="0" w:after="0" w:line="360" w:lineRule="auto"/>
              <w:ind w:firstLine="560" w:firstLineChars="200"/>
              <w:jc w:val="center"/>
              <w:rPr>
                <w:rStyle w:val="48"/>
                <w:rFonts w:hint="eastAsia" w:ascii="仿宋" w:hAnsi="仿宋" w:eastAsia="仿宋" w:cs="仿宋"/>
                <w:lang w:val="en-US"/>
              </w:rPr>
            </w:pPr>
          </w:p>
        </w:tc>
        <w:tc>
          <w:tcPr>
            <w:tcW w:w="3513"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6"/>
              <w:shd w:val="clear" w:color="auto" w:fill="auto"/>
              <w:autoSpaceDE w:val="0"/>
              <w:autoSpaceDN w:val="0"/>
              <w:spacing w:before="0" w:after="0" w:line="360" w:lineRule="auto"/>
              <w:ind w:firstLine="560" w:firstLineChars="200"/>
              <w:jc w:val="center"/>
              <w:rPr>
                <w:rStyle w:val="48"/>
                <w:rFonts w:hint="eastAsia" w:ascii="仿宋" w:hAnsi="仿宋" w:eastAsia="仿宋" w:cs="仿宋"/>
                <w:lang w:val="en-US"/>
              </w:rPr>
            </w:pPr>
          </w:p>
        </w:tc>
      </w:tr>
    </w:tbl>
    <w:p>
      <w:pPr>
        <w:keepNext w:val="0"/>
        <w:keepLines w:val="0"/>
        <w:pageBreakBefore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p>
    <w:p>
      <w:pPr>
        <w:pStyle w:val="3"/>
        <w:autoSpaceDE w:val="0"/>
        <w:autoSpaceDN w:val="0"/>
        <w:spacing w:before="4" w:line="560" w:lineRule="exact"/>
        <w:ind w:right="975" w:firstLine="643" w:firstLineChars="200"/>
        <w:jc w:val="both"/>
        <w:rPr>
          <w:rFonts w:hint="eastAsia"/>
          <w:b/>
          <w:bCs/>
        </w:rPr>
      </w:pPr>
      <w:r>
        <w:rPr>
          <w:rFonts w:hint="eastAsia"/>
          <w:b/>
          <w:bCs/>
        </w:rPr>
        <w:t>三、20</w:t>
      </w:r>
      <w:r>
        <w:rPr>
          <w:rFonts w:hint="eastAsia"/>
          <w:b/>
          <w:bCs/>
          <w:lang w:val="en-US" w:eastAsia="zh-CN"/>
        </w:rPr>
        <w:t>21</w:t>
      </w:r>
      <w:r>
        <w:rPr>
          <w:rFonts w:hint="eastAsia"/>
          <w:b/>
          <w:bCs/>
        </w:rPr>
        <w:t>年度主要工作任务</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（一</w:t>
      </w:r>
      <w:r>
        <w:rPr>
          <w:rFonts w:hint="eastAsia"/>
          <w:lang w:val="en-US" w:eastAsia="zh-CN"/>
        </w:rPr>
        <w:t>)</w:t>
      </w:r>
      <w:r>
        <w:rPr>
          <w:rFonts w:hint="eastAsia"/>
          <w:lang w:val="zh-CN" w:eastAsia="zh-CN"/>
        </w:rPr>
        <w:t>凝心聚力抓好思想政治引领。聚焦为党培养社会主义建设者和接班人的根本任务，坚持问题导向、创新方式方法，提升思想引领工作的感染力和实效性。把学习宣传贯彻习近平总书记考察安徽和在合肥主持召开扎实推进长三角一体化发展座谈会重要讲话精神作为青年思想政治教育的重要内容抓紧抓实，充分发挥青年讲师团的作用，在全县各领域团组织中开展宣讲，推动习近平新时代中国特色社会主义思想入脑入心。持之以恒抓好“青年大学习”。聚焦互联网的工作主战场，夯实“石台青少年”微信公众号的工作主阵地，推出更多符合青年口味的新媒体产品。</w:t>
      </w:r>
    </w:p>
    <w:p>
      <w:pPr>
        <w:pStyle w:val="3"/>
        <w:autoSpaceDE w:val="0"/>
        <w:autoSpaceDN w:val="0"/>
        <w:spacing w:before="4" w:line="560" w:lineRule="exact"/>
        <w:ind w:right="975" w:firstLine="640" w:firstLineChars="200"/>
        <w:jc w:val="both"/>
        <w:rPr>
          <w:rFonts w:hint="eastAsia"/>
          <w:lang w:val="zh-CN" w:eastAsia="zh-CN"/>
        </w:rPr>
      </w:pPr>
      <w:r>
        <w:rPr>
          <w:rFonts w:hint="eastAsia"/>
          <w:lang w:val="zh-CN" w:eastAsia="zh-CN"/>
        </w:rPr>
        <w:t>（二）朝气蓬勃建功新时代。新时代为广大青年施展才华、建功奉献开辟了更加广阔的舞台。我们将加强与各有关部门的沟通联系，找准共青团参与中心工作的切入点。深化“希望工程”“爱心圆梦大学”等品牌工作；开展共青团参与农村环境综合整治“六项行动”；积极发挥专业队伍、注重动员社会组织的作用，为全县重要活动提供志愿服务；建立石台县驻外青年人才联络站，本着“不求所有，但求所用”的原则，加强与在外石台籍优秀青年的联系；注重发现、培育农村青年创业典型，依托青年创业者协会加强农村青年创业致富带头人培养工作，鼓励引导青年抱“团”发展、共筑梦想。</w:t>
      </w:r>
    </w:p>
    <w:p>
      <w:pPr>
        <w:pStyle w:val="3"/>
        <w:autoSpaceDE w:val="0"/>
        <w:autoSpaceDN w:val="0"/>
        <w:spacing w:before="4" w:line="560" w:lineRule="exact"/>
        <w:ind w:right="975" w:firstLine="640" w:firstLineChars="200"/>
        <w:jc w:val="both"/>
        <w:rPr>
          <w:rFonts w:hint="eastAsia"/>
        </w:rPr>
      </w:pPr>
      <w:r>
        <w:rPr>
          <w:rFonts w:hint="eastAsia"/>
          <w:lang w:val="zh-CN" w:eastAsia="zh-CN"/>
        </w:rPr>
        <w:t xml:space="preserve"> </w:t>
      </w:r>
      <w:r>
        <w:rPr>
          <w:rFonts w:hint="eastAsia"/>
          <w:lang w:val="en-US" w:eastAsia="zh-CN"/>
        </w:rPr>
        <w:t xml:space="preserve"> </w:t>
      </w:r>
      <w:r>
        <w:rPr>
          <w:rFonts w:hint="eastAsia"/>
          <w:lang w:val="zh-CN" w:eastAsia="zh-CN"/>
        </w:rPr>
        <w:t>（三</w:t>
      </w:r>
      <w:r>
        <w:rPr>
          <w:rFonts w:hint="eastAsia"/>
          <w:lang w:val="en-US" w:eastAsia="zh-CN"/>
        </w:rPr>
        <w:t>)</w:t>
      </w:r>
      <w:r>
        <w:rPr>
          <w:rFonts w:hint="eastAsia"/>
          <w:lang w:val="zh-CN" w:eastAsia="zh-CN"/>
        </w:rPr>
        <w:t>筑牢基层团组织“基石”。坚持党建带团建，不断强化党的意识，以党的政治建设为统领，全面推进从严治团，全面加强基层团队组织建设。积极整合资源，完善青年之家平台建设，努力提升基层团组织的学习性和活跃度。严格团干部选配和管理，加强团干部教育培训，狠抓团干部作风建设。认真落实团员计划和团员发展规划，着力加强团员先进性教育，发挥团员模范作用。加强团干部作风锤炼，抓好团内“关键少数”，始终保持朝气蓬勃、昂扬向上的精神状态，进一步强化机关效能建设，增强工作执行力，推动工作有效落实。</w:t>
      </w:r>
    </w:p>
    <w:p>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kern w:val="2"/>
          <w:sz w:val="28"/>
          <w:szCs w:val="28"/>
        </w:rPr>
      </w:pPr>
      <w:r>
        <w:rPr>
          <w:rFonts w:hint="eastAsia" w:asciiTheme="minorEastAsia" w:hAnsiTheme="minorEastAsia" w:eastAsiaTheme="minorEastAsia" w:cstheme="minorEastAsia"/>
          <w:sz w:val="28"/>
          <w:szCs w:val="28"/>
        </w:rPr>
        <w:t xml:space="preserve">                                             </w:t>
      </w:r>
    </w:p>
    <w:p>
      <w:pPr>
        <w:pStyle w:val="3"/>
        <w:autoSpaceDE w:val="0"/>
        <w:autoSpaceDN w:val="0"/>
        <w:spacing w:before="4" w:line="560" w:lineRule="exact"/>
        <w:ind w:right="975" w:firstLine="640" w:firstLineChars="200"/>
        <w:jc w:val="both"/>
        <w:rPr>
          <w:rFonts w:hint="eastAsia" w:ascii="黑体" w:hAnsi="黑体" w:eastAsia="黑体" w:cs="黑体"/>
        </w:rPr>
      </w:pPr>
      <w:r>
        <w:rPr>
          <w:rFonts w:hint="eastAsia" w:ascii="黑体" w:hAnsi="黑体" w:eastAsia="黑体" w:cs="黑体"/>
        </w:rPr>
        <w:t>第二部分</w:t>
      </w:r>
      <w:r>
        <w:rPr>
          <w:rFonts w:hint="eastAsia" w:ascii="黑体" w:hAnsi="黑体" w:eastAsia="黑体" w:cs="黑体"/>
          <w:lang w:val="en-US"/>
        </w:rPr>
        <w:t xml:space="preserve"> </w:t>
      </w:r>
      <w:r>
        <w:rPr>
          <w:rFonts w:hint="eastAsia" w:ascii="黑体" w:hAnsi="黑体" w:eastAsia="黑体" w:cs="黑体"/>
        </w:rPr>
        <w:t>20</w:t>
      </w:r>
      <w:r>
        <w:rPr>
          <w:rFonts w:hint="eastAsia" w:ascii="黑体" w:hAnsi="黑体" w:eastAsia="黑体" w:cs="黑体"/>
          <w:lang w:val="en-US"/>
        </w:rPr>
        <w:t>21</w:t>
      </w:r>
      <w:r>
        <w:rPr>
          <w:rFonts w:hint="eastAsia" w:ascii="黑体" w:hAnsi="黑体" w:eastAsia="黑体" w:cs="黑体"/>
        </w:rPr>
        <w:t>年部门预算情况说明</w:t>
      </w:r>
    </w:p>
    <w:p>
      <w:pPr>
        <w:pStyle w:val="3"/>
        <w:autoSpaceDE w:val="0"/>
        <w:autoSpaceDN w:val="0"/>
        <w:spacing w:before="4" w:line="560" w:lineRule="exact"/>
        <w:ind w:right="975" w:firstLine="643" w:firstLineChars="200"/>
        <w:jc w:val="both"/>
        <w:rPr>
          <w:rFonts w:hint="eastAsia"/>
          <w:b/>
          <w:bCs/>
        </w:rPr>
      </w:pPr>
      <w:r>
        <w:rPr>
          <w:rFonts w:hint="eastAsia"/>
          <w:b/>
          <w:bCs/>
        </w:rPr>
        <w:t>一、关于20</w:t>
      </w:r>
      <w:r>
        <w:rPr>
          <w:rFonts w:hint="eastAsia"/>
          <w:b/>
          <w:bCs/>
          <w:lang w:val="en-US" w:eastAsia="zh-CN"/>
        </w:rPr>
        <w:t>21</w:t>
      </w:r>
      <w:r>
        <w:rPr>
          <w:rFonts w:hint="eastAsia"/>
          <w:b/>
          <w:bCs/>
        </w:rPr>
        <w:t>年财政拨款收支预算总体情况说明</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jc w:val="both"/>
        <w:textAlignment w:val="auto"/>
        <w:rPr>
          <w:rFonts w:hint="eastAsia" w:ascii="仿宋_GB2312" w:hAnsi="仿宋_GB2312" w:eastAsia="仿宋_GB2312" w:cs="仿宋_GB2312"/>
          <w:spacing w:val="0"/>
          <w:sz w:val="32"/>
          <w:szCs w:val="32"/>
          <w:lang w:val="en-US" w:eastAsia="zh-CN" w:bidi="zh-CN"/>
        </w:rPr>
      </w:pPr>
      <w:r>
        <w:rPr>
          <w:rFonts w:hint="eastAsia" w:ascii="仿宋_GB2312" w:hAnsi="仿宋_GB2312" w:eastAsia="仿宋_GB2312" w:cs="仿宋_GB2312"/>
          <w:spacing w:val="0"/>
          <w:sz w:val="32"/>
          <w:szCs w:val="32"/>
          <w:lang w:val="en-US" w:eastAsia="zh-CN" w:bidi="zh-CN"/>
        </w:rPr>
        <w:t>石台县团县委2021年财政拨款收支预算50.37万元。收入按资金来源分为：一般公共预算拨款50.37万元；按资金年度分为：当年财政拨款收入50.37万元。支出按功能分类分为：一般公共服务支出42.61万元，占84.60%；社会保障和就业支出2.65万元，占5.26%；卫生健康支出1.14万元，占2.26%；住房保障支出3.97万元，占7.88%。</w:t>
      </w:r>
    </w:p>
    <w:p>
      <w:pPr>
        <w:pStyle w:val="3"/>
        <w:autoSpaceDE w:val="0"/>
        <w:autoSpaceDN w:val="0"/>
        <w:spacing w:before="4" w:line="560" w:lineRule="exact"/>
        <w:ind w:right="975" w:firstLine="643" w:firstLineChars="200"/>
        <w:jc w:val="both"/>
        <w:rPr>
          <w:rFonts w:hint="eastAsia"/>
          <w:b/>
          <w:bCs/>
        </w:rPr>
      </w:pPr>
      <w:r>
        <w:rPr>
          <w:rFonts w:hint="eastAsia"/>
          <w:b/>
          <w:bCs/>
        </w:rPr>
        <w:t>二、关于20</w:t>
      </w:r>
      <w:r>
        <w:rPr>
          <w:rFonts w:hint="eastAsia"/>
          <w:b/>
          <w:bCs/>
          <w:lang w:val="en-US" w:eastAsia="zh-CN"/>
        </w:rPr>
        <w:t>21</w:t>
      </w:r>
      <w:r>
        <w:rPr>
          <w:rFonts w:hint="eastAsia"/>
          <w:b/>
          <w:bCs/>
        </w:rPr>
        <w:t>年一般公共预算拨款情况说明</w:t>
      </w:r>
    </w:p>
    <w:p>
      <w:pPr>
        <w:pStyle w:val="3"/>
        <w:autoSpaceDE w:val="0"/>
        <w:autoSpaceDN w:val="0"/>
        <w:spacing w:before="4" w:line="560" w:lineRule="exact"/>
        <w:ind w:right="975" w:firstLine="643" w:firstLineChars="200"/>
        <w:jc w:val="both"/>
        <w:rPr>
          <w:rFonts w:hint="eastAsia" w:ascii="楷体" w:hAnsi="楷体" w:eastAsia="楷体" w:cs="楷体"/>
          <w:b/>
          <w:bCs/>
        </w:rPr>
      </w:pPr>
      <w:r>
        <w:rPr>
          <w:rFonts w:hint="eastAsia" w:ascii="楷体" w:hAnsi="楷体" w:eastAsia="楷体" w:cs="楷体"/>
          <w:b/>
          <w:bCs/>
        </w:rPr>
        <w:t>（一）一般公共预算拨款规模变化情况。</w:t>
      </w:r>
    </w:p>
    <w:p>
      <w:pPr>
        <w:pStyle w:val="3"/>
        <w:autoSpaceDE w:val="0"/>
        <w:autoSpaceDN w:val="0"/>
        <w:spacing w:before="4" w:line="560" w:lineRule="exact"/>
        <w:ind w:right="975" w:firstLine="640" w:firstLineChars="200"/>
        <w:jc w:val="both"/>
        <w:rPr>
          <w:rFonts w:hint="eastAsia"/>
          <w:lang w:val="en-US" w:eastAsia="zh-CN"/>
        </w:rPr>
      </w:pPr>
      <w:r>
        <w:rPr>
          <w:rFonts w:hint="eastAsia"/>
          <w:lang w:val="en-US" w:eastAsia="zh-CN"/>
        </w:rPr>
        <w:t>石台县团县委</w:t>
      </w:r>
      <w:r>
        <w:rPr>
          <w:rFonts w:hint="eastAsia"/>
          <w:lang w:val="en-US"/>
        </w:rPr>
        <w:t>20</w:t>
      </w:r>
      <w:r>
        <w:rPr>
          <w:rFonts w:hint="eastAsia"/>
          <w:lang w:val="en-US" w:eastAsia="zh-CN"/>
        </w:rPr>
        <w:t>21</w:t>
      </w:r>
      <w:r>
        <w:rPr>
          <w:rFonts w:hint="eastAsia"/>
          <w:lang w:val="en-US"/>
        </w:rPr>
        <w:t>年一般公共预算拨款</w:t>
      </w:r>
      <w:r>
        <w:rPr>
          <w:rFonts w:hint="eastAsia"/>
          <w:lang w:val="en-US" w:eastAsia="zh-CN"/>
        </w:rPr>
        <w:t>50.37</w:t>
      </w:r>
      <w:r>
        <w:rPr>
          <w:rFonts w:hint="eastAsia"/>
          <w:lang w:val="en-US"/>
        </w:rPr>
        <w:t>万元，比20</w:t>
      </w:r>
      <w:r>
        <w:rPr>
          <w:rFonts w:hint="eastAsia"/>
          <w:lang w:val="en-US" w:eastAsia="zh-CN"/>
        </w:rPr>
        <w:t>20</w:t>
      </w:r>
      <w:r>
        <w:rPr>
          <w:rFonts w:hint="eastAsia"/>
          <w:lang w:val="en-US"/>
        </w:rPr>
        <w:t>年预算拨款</w:t>
      </w:r>
      <w:r>
        <w:rPr>
          <w:rFonts w:hint="eastAsia"/>
          <w:lang w:val="en-US" w:eastAsia="zh-CN"/>
        </w:rPr>
        <w:t>增加12.69</w:t>
      </w:r>
      <w:r>
        <w:rPr>
          <w:rFonts w:hint="eastAsia"/>
          <w:lang w:val="en-US"/>
        </w:rPr>
        <w:t>万元，</w:t>
      </w:r>
      <w:r>
        <w:rPr>
          <w:rFonts w:hint="eastAsia"/>
          <w:lang w:val="en-US" w:eastAsia="zh-CN"/>
        </w:rPr>
        <w:t>增长33.68</w:t>
      </w:r>
      <w:r>
        <w:rPr>
          <w:rFonts w:hint="eastAsia"/>
          <w:lang w:val="en-US"/>
        </w:rPr>
        <w:t>%,</w:t>
      </w:r>
      <w:r>
        <w:rPr>
          <w:rFonts w:hint="eastAsia"/>
          <w:lang w:val="en-US" w:eastAsia="zh-CN"/>
        </w:rPr>
        <w:t>增长原因主要是人员增加1名及相应的保障经费增加。</w:t>
      </w:r>
    </w:p>
    <w:p>
      <w:pPr>
        <w:pStyle w:val="3"/>
        <w:autoSpaceDE w:val="0"/>
        <w:autoSpaceDN w:val="0"/>
        <w:spacing w:before="4" w:line="560" w:lineRule="exact"/>
        <w:ind w:right="975" w:firstLine="643" w:firstLineChars="200"/>
        <w:jc w:val="both"/>
        <w:rPr>
          <w:rFonts w:hint="eastAsia" w:ascii="楷体" w:hAnsi="楷体" w:eastAsia="楷体" w:cs="楷体"/>
          <w:b/>
          <w:bCs/>
        </w:rPr>
      </w:pPr>
      <w:r>
        <w:rPr>
          <w:rFonts w:hint="eastAsia" w:ascii="楷体" w:hAnsi="楷体" w:eastAsia="楷体" w:cs="楷体"/>
          <w:b/>
          <w:bCs/>
        </w:rPr>
        <w:t>（二）一般公共预算拨款结构情况。</w:t>
      </w:r>
    </w:p>
    <w:p>
      <w:pPr>
        <w:pStyle w:val="3"/>
        <w:autoSpaceDE w:val="0"/>
        <w:autoSpaceDN w:val="0"/>
        <w:spacing w:before="4" w:line="560" w:lineRule="exact"/>
        <w:ind w:right="975" w:firstLine="640" w:firstLineChars="200"/>
        <w:jc w:val="both"/>
        <w:rPr>
          <w:rFonts w:hint="eastAsia"/>
          <w:lang w:val="en-US" w:eastAsia="zh-CN"/>
        </w:rPr>
      </w:pPr>
      <w:r>
        <w:rPr>
          <w:rFonts w:hint="eastAsia"/>
          <w:lang w:val="en-US" w:eastAsia="zh-CN"/>
        </w:rPr>
        <w:t>一般公共服务支出42.61万元，占84.60%；社会保障和就业支出2.65万元，占5.26%；卫生健康支出1.14万元，占2.26%；住房保障支出3.97万元，占7.88%。</w:t>
      </w:r>
    </w:p>
    <w:p>
      <w:pPr>
        <w:pStyle w:val="3"/>
        <w:autoSpaceDE w:val="0"/>
        <w:autoSpaceDN w:val="0"/>
        <w:spacing w:before="4" w:line="560" w:lineRule="exact"/>
        <w:ind w:right="975" w:firstLine="643" w:firstLineChars="200"/>
        <w:jc w:val="both"/>
        <w:rPr>
          <w:rFonts w:hint="eastAsia" w:ascii="楷体" w:hAnsi="楷体" w:eastAsia="楷体" w:cs="楷体"/>
          <w:b/>
          <w:bCs/>
        </w:rPr>
      </w:pPr>
      <w:r>
        <w:rPr>
          <w:rFonts w:hint="eastAsia" w:ascii="楷体" w:hAnsi="楷体" w:eastAsia="楷体" w:cs="楷体"/>
          <w:b/>
          <w:bCs/>
        </w:rPr>
        <w:t>（三）一般公共预算拨款具体使用情况。</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3" w:firstLineChars="200"/>
        <w:textAlignment w:val="auto"/>
        <w:rPr>
          <w:rFonts w:hint="eastAsia" w:asciiTheme="minorEastAsia" w:hAnsiTheme="minorEastAsia" w:eastAsiaTheme="minorEastAsia" w:cstheme="minorEastAsia"/>
          <w:color w:val="000000"/>
          <w:spacing w:val="0"/>
          <w:sz w:val="28"/>
          <w:szCs w:val="28"/>
          <w:lang w:val="en-US" w:eastAsia="zh-CN" w:bidi="zh-CN"/>
        </w:rPr>
      </w:pPr>
      <w:r>
        <w:rPr>
          <w:rFonts w:hint="eastAsia" w:ascii="仿宋_GB2312" w:hAnsi="仿宋_GB2312" w:eastAsia="仿宋_GB2312" w:cs="仿宋_GB2312"/>
          <w:b/>
          <w:bCs/>
          <w:spacing w:val="0"/>
          <w:sz w:val="32"/>
          <w:szCs w:val="32"/>
          <w:lang w:val="en-US" w:eastAsia="zh-CN" w:bidi="zh-CN"/>
        </w:rPr>
        <w:t>1. 一般公共服务支出(类）群众团体事务（款）行政运行(群众团体事务)（项）</w:t>
      </w:r>
      <w:r>
        <w:rPr>
          <w:rFonts w:hint="eastAsia" w:ascii="仿宋_GB2312" w:hAnsi="仿宋_GB2312" w:eastAsia="仿宋_GB2312" w:cs="仿宋_GB2312"/>
          <w:spacing w:val="0"/>
          <w:sz w:val="32"/>
          <w:szCs w:val="32"/>
          <w:lang w:val="en-US" w:eastAsia="zh-CN" w:bidi="zh-CN"/>
        </w:rPr>
        <w:t>2021年预算17.94万元，比2020年预算增加7.35万元，增长69.41</w:t>
      </w:r>
      <w:r>
        <w:rPr>
          <w:rFonts w:hint="eastAsia" w:ascii="仿宋_GB2312" w:hAnsi="仿宋_GB2312" w:eastAsia="仿宋_GB2312" w:cs="仿宋_GB2312"/>
          <w:spacing w:val="0"/>
          <w:sz w:val="32"/>
          <w:szCs w:val="32"/>
          <w:lang w:val="zh-CN" w:eastAsia="zh-CN" w:bidi="zh-CN"/>
        </w:rPr>
        <w:t>%,</w:t>
      </w:r>
      <w:r>
        <w:rPr>
          <w:rFonts w:hint="eastAsia" w:ascii="仿宋_GB2312" w:hAnsi="仿宋_GB2312" w:eastAsia="仿宋_GB2312" w:cs="仿宋_GB2312"/>
          <w:spacing w:val="0"/>
          <w:sz w:val="32"/>
          <w:szCs w:val="32"/>
          <w:lang w:val="en-US" w:eastAsia="zh-CN" w:bidi="zh-CN"/>
        </w:rPr>
        <w:t>增长原因主要是人员增加1名及相应的保障经费增加；</w:t>
      </w:r>
      <w:r>
        <w:rPr>
          <w:rFonts w:hint="eastAsia" w:ascii="仿宋_GB2312" w:hAnsi="仿宋_GB2312" w:eastAsia="仿宋_GB2312" w:cs="仿宋_GB2312"/>
          <w:b/>
          <w:bCs/>
          <w:spacing w:val="0"/>
          <w:sz w:val="32"/>
          <w:szCs w:val="32"/>
          <w:lang w:val="en-US" w:eastAsia="zh-CN" w:bidi="zh-CN"/>
        </w:rPr>
        <w:t>一般公共服务支出(类)群众团体事务(款）其他群众团体事务支出(项）</w:t>
      </w:r>
      <w:r>
        <w:rPr>
          <w:rFonts w:hint="eastAsia" w:ascii="仿宋_GB2312" w:hAnsi="仿宋_GB2312" w:eastAsia="仿宋_GB2312" w:cs="仿宋_GB2312"/>
          <w:spacing w:val="0"/>
          <w:sz w:val="32"/>
          <w:szCs w:val="32"/>
          <w:lang w:val="en-US" w:eastAsia="zh-CN" w:bidi="zh-CN"/>
        </w:rPr>
        <w:t>2021年预算24.67万元，比2020年预算增加1.29万元，增长5.52</w:t>
      </w:r>
      <w:r>
        <w:rPr>
          <w:rFonts w:hint="eastAsia" w:ascii="仿宋_GB2312" w:hAnsi="仿宋_GB2312" w:eastAsia="仿宋_GB2312" w:cs="仿宋_GB2312"/>
          <w:spacing w:val="0"/>
          <w:sz w:val="32"/>
          <w:szCs w:val="32"/>
          <w:lang w:val="zh-CN" w:eastAsia="zh-CN" w:bidi="zh-CN"/>
        </w:rPr>
        <w:t>%,</w:t>
      </w:r>
      <w:r>
        <w:rPr>
          <w:rFonts w:hint="eastAsia" w:ascii="仿宋_GB2312" w:hAnsi="仿宋_GB2312" w:eastAsia="仿宋_GB2312" w:cs="仿宋_GB2312"/>
          <w:spacing w:val="0"/>
          <w:sz w:val="32"/>
          <w:szCs w:val="32"/>
          <w:lang w:val="en-US" w:eastAsia="zh-CN" w:bidi="zh-CN"/>
        </w:rPr>
        <w:t>增长原因主要是人员增加及相应的保障经费增加。</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3" w:firstLineChars="200"/>
        <w:jc w:val="both"/>
        <w:textAlignment w:val="auto"/>
        <w:rPr>
          <w:rFonts w:hint="eastAsia" w:ascii="仿宋_GB2312" w:hAnsi="仿宋_GB2312" w:eastAsia="仿宋_GB2312" w:cs="仿宋_GB2312"/>
          <w:spacing w:val="0"/>
          <w:sz w:val="32"/>
          <w:szCs w:val="32"/>
          <w:lang w:val="zh-CN" w:eastAsia="zh-CN" w:bidi="zh-CN"/>
        </w:rPr>
      </w:pPr>
      <w:r>
        <w:rPr>
          <w:rFonts w:hint="eastAsia" w:ascii="仿宋_GB2312" w:hAnsi="仿宋_GB2312" w:eastAsia="仿宋_GB2312" w:cs="仿宋_GB2312"/>
          <w:b/>
          <w:bCs/>
          <w:spacing w:val="0"/>
          <w:sz w:val="32"/>
          <w:szCs w:val="32"/>
          <w:lang w:val="en-US" w:eastAsia="zh-CN" w:bidi="zh-CN"/>
        </w:rPr>
        <w:t xml:space="preserve">2. </w:t>
      </w:r>
      <w:r>
        <w:rPr>
          <w:rFonts w:hint="eastAsia" w:ascii="仿宋_GB2312" w:hAnsi="仿宋_GB2312" w:eastAsia="仿宋_GB2312" w:cs="仿宋_GB2312"/>
          <w:b/>
          <w:bCs/>
          <w:spacing w:val="0"/>
          <w:sz w:val="32"/>
          <w:szCs w:val="32"/>
          <w:lang w:val="zh-CN" w:eastAsia="zh-CN" w:bidi="zh-CN"/>
        </w:rPr>
        <w:t>社会保障和就业支出</w:t>
      </w:r>
      <w:r>
        <w:rPr>
          <w:rFonts w:hint="eastAsia" w:ascii="仿宋_GB2312" w:hAnsi="仿宋_GB2312" w:eastAsia="仿宋_GB2312" w:cs="仿宋_GB2312"/>
          <w:b/>
          <w:bCs/>
          <w:spacing w:val="0"/>
          <w:sz w:val="32"/>
          <w:szCs w:val="32"/>
          <w:lang w:val="en-US" w:eastAsia="zh-CN" w:bidi="zh-CN"/>
        </w:rPr>
        <w:t>(类)行政事业单位养老支出(款)</w:t>
      </w:r>
      <w:r>
        <w:rPr>
          <w:rFonts w:hint="eastAsia" w:ascii="仿宋_GB2312" w:hAnsi="仿宋_GB2312" w:eastAsia="仿宋_GB2312" w:cs="仿宋_GB2312"/>
          <w:b/>
          <w:bCs/>
          <w:spacing w:val="0"/>
          <w:sz w:val="32"/>
          <w:szCs w:val="32"/>
          <w:lang w:val="zh-CN" w:eastAsia="zh-CN" w:bidi="zh-CN"/>
        </w:rPr>
        <w:t>机关事业单位基本养老保险缴费支出</w:t>
      </w:r>
      <w:r>
        <w:rPr>
          <w:rFonts w:hint="eastAsia" w:ascii="仿宋_GB2312" w:hAnsi="仿宋_GB2312" w:eastAsia="仿宋_GB2312" w:cs="仿宋_GB2312"/>
          <w:b/>
          <w:bCs/>
          <w:spacing w:val="0"/>
          <w:sz w:val="32"/>
          <w:szCs w:val="32"/>
          <w:lang w:val="en-US" w:eastAsia="zh-CN" w:bidi="zh-CN"/>
        </w:rPr>
        <w:t>(</w:t>
      </w:r>
      <w:r>
        <w:rPr>
          <w:rFonts w:hint="eastAsia" w:ascii="仿宋_GB2312" w:hAnsi="仿宋_GB2312" w:eastAsia="仿宋_GB2312" w:cs="仿宋_GB2312"/>
          <w:b/>
          <w:bCs/>
          <w:spacing w:val="0"/>
          <w:sz w:val="32"/>
          <w:szCs w:val="32"/>
          <w:lang w:val="zh-CN" w:eastAsia="zh-CN" w:bidi="zh-CN"/>
        </w:rPr>
        <w:t>项</w:t>
      </w:r>
      <w:r>
        <w:rPr>
          <w:rFonts w:hint="eastAsia" w:ascii="仿宋_GB2312" w:hAnsi="仿宋_GB2312" w:eastAsia="仿宋_GB2312" w:cs="仿宋_GB2312"/>
          <w:b/>
          <w:bCs/>
          <w:spacing w:val="0"/>
          <w:sz w:val="32"/>
          <w:szCs w:val="32"/>
          <w:lang w:val="en-US" w:eastAsia="zh-CN" w:bidi="zh-CN"/>
        </w:rPr>
        <w:t>)</w:t>
      </w:r>
      <w:r>
        <w:rPr>
          <w:rFonts w:hint="eastAsia" w:ascii="仿宋_GB2312" w:hAnsi="仿宋_GB2312" w:eastAsia="仿宋_GB2312" w:cs="仿宋_GB2312"/>
          <w:spacing w:val="0"/>
          <w:sz w:val="32"/>
          <w:szCs w:val="32"/>
          <w:lang w:val="zh-CN" w:eastAsia="zh-CN" w:bidi="zh-CN"/>
        </w:rPr>
        <w:t>20</w:t>
      </w:r>
      <w:r>
        <w:rPr>
          <w:rFonts w:hint="eastAsia" w:ascii="仿宋_GB2312" w:hAnsi="仿宋_GB2312" w:eastAsia="仿宋_GB2312" w:cs="仿宋_GB2312"/>
          <w:spacing w:val="0"/>
          <w:sz w:val="32"/>
          <w:szCs w:val="32"/>
          <w:lang w:val="en-US" w:eastAsia="zh-CN" w:bidi="zh-CN"/>
        </w:rPr>
        <w:t>21</w:t>
      </w:r>
      <w:r>
        <w:rPr>
          <w:rFonts w:hint="eastAsia" w:ascii="仿宋_GB2312" w:hAnsi="仿宋_GB2312" w:eastAsia="仿宋_GB2312" w:cs="仿宋_GB2312"/>
          <w:spacing w:val="0"/>
          <w:sz w:val="32"/>
          <w:szCs w:val="32"/>
          <w:lang w:val="zh-CN" w:eastAsia="zh-CN" w:bidi="zh-CN"/>
        </w:rPr>
        <w:t>年预算</w:t>
      </w:r>
      <w:r>
        <w:rPr>
          <w:rFonts w:hint="eastAsia" w:ascii="仿宋_GB2312" w:hAnsi="仿宋_GB2312" w:eastAsia="仿宋_GB2312" w:cs="仿宋_GB2312"/>
          <w:spacing w:val="0"/>
          <w:sz w:val="32"/>
          <w:szCs w:val="32"/>
          <w:lang w:val="en-US" w:eastAsia="zh-CN" w:bidi="zh-CN"/>
        </w:rPr>
        <w:t>2.65</w:t>
      </w:r>
      <w:r>
        <w:rPr>
          <w:rFonts w:hint="eastAsia" w:ascii="仿宋_GB2312" w:hAnsi="仿宋_GB2312" w:eastAsia="仿宋_GB2312" w:cs="仿宋_GB2312"/>
          <w:spacing w:val="0"/>
          <w:sz w:val="32"/>
          <w:szCs w:val="32"/>
          <w:lang w:val="zh-CN" w:eastAsia="zh-CN" w:bidi="zh-CN"/>
        </w:rPr>
        <w:t>万元，比20</w:t>
      </w:r>
      <w:r>
        <w:rPr>
          <w:rFonts w:hint="eastAsia" w:ascii="仿宋_GB2312" w:hAnsi="仿宋_GB2312" w:eastAsia="仿宋_GB2312" w:cs="仿宋_GB2312"/>
          <w:spacing w:val="0"/>
          <w:sz w:val="32"/>
          <w:szCs w:val="32"/>
          <w:lang w:val="en-US" w:eastAsia="zh-CN" w:bidi="zh-CN"/>
        </w:rPr>
        <w:t>20</w:t>
      </w:r>
      <w:r>
        <w:rPr>
          <w:rFonts w:hint="eastAsia" w:ascii="仿宋_GB2312" w:hAnsi="仿宋_GB2312" w:eastAsia="仿宋_GB2312" w:cs="仿宋_GB2312"/>
          <w:spacing w:val="0"/>
          <w:sz w:val="32"/>
          <w:szCs w:val="32"/>
          <w:lang w:val="zh-CN" w:eastAsia="zh-CN" w:bidi="zh-CN"/>
        </w:rPr>
        <w:t>年预算</w:t>
      </w:r>
      <w:r>
        <w:rPr>
          <w:rFonts w:hint="eastAsia" w:ascii="仿宋_GB2312" w:hAnsi="仿宋_GB2312" w:eastAsia="仿宋_GB2312" w:cs="仿宋_GB2312"/>
          <w:spacing w:val="0"/>
          <w:sz w:val="32"/>
          <w:szCs w:val="32"/>
          <w:lang w:val="en-US" w:eastAsia="zh-CN" w:bidi="zh-CN"/>
        </w:rPr>
        <w:t>增加0.94</w:t>
      </w:r>
      <w:r>
        <w:rPr>
          <w:rFonts w:hint="eastAsia" w:ascii="仿宋_GB2312" w:hAnsi="仿宋_GB2312" w:eastAsia="仿宋_GB2312" w:cs="仿宋_GB2312"/>
          <w:spacing w:val="0"/>
          <w:sz w:val="32"/>
          <w:szCs w:val="32"/>
          <w:lang w:val="zh-CN" w:eastAsia="zh-CN" w:bidi="zh-CN"/>
        </w:rPr>
        <w:t>万元，</w:t>
      </w:r>
      <w:r>
        <w:rPr>
          <w:rFonts w:hint="eastAsia" w:ascii="仿宋_GB2312" w:hAnsi="仿宋_GB2312" w:eastAsia="仿宋_GB2312" w:cs="仿宋_GB2312"/>
          <w:spacing w:val="0"/>
          <w:sz w:val="32"/>
          <w:szCs w:val="32"/>
          <w:lang w:val="en-US" w:eastAsia="zh-CN" w:bidi="zh-CN"/>
        </w:rPr>
        <w:t>增长54.97</w:t>
      </w:r>
      <w:r>
        <w:rPr>
          <w:rFonts w:hint="eastAsia" w:ascii="仿宋_GB2312" w:hAnsi="仿宋_GB2312" w:eastAsia="仿宋_GB2312" w:cs="仿宋_GB2312"/>
          <w:spacing w:val="0"/>
          <w:sz w:val="32"/>
          <w:szCs w:val="32"/>
          <w:lang w:val="zh-CN" w:eastAsia="zh-CN" w:bidi="zh-CN"/>
        </w:rPr>
        <w:t>%,</w:t>
      </w:r>
      <w:r>
        <w:rPr>
          <w:rFonts w:hint="eastAsia" w:ascii="仿宋_GB2312" w:hAnsi="仿宋_GB2312" w:eastAsia="仿宋_GB2312" w:cs="仿宋_GB2312"/>
          <w:spacing w:val="0"/>
          <w:sz w:val="32"/>
          <w:szCs w:val="32"/>
          <w:lang w:val="en-US" w:eastAsia="zh-CN" w:bidi="zh-CN"/>
        </w:rPr>
        <w:t>增长</w:t>
      </w:r>
      <w:r>
        <w:rPr>
          <w:rFonts w:hint="eastAsia" w:ascii="仿宋_GB2312" w:hAnsi="仿宋_GB2312" w:eastAsia="仿宋_GB2312" w:cs="仿宋_GB2312"/>
          <w:spacing w:val="0"/>
          <w:sz w:val="32"/>
          <w:szCs w:val="32"/>
          <w:lang w:val="zh-CN" w:eastAsia="zh-CN" w:bidi="zh-CN"/>
        </w:rPr>
        <w:t>原因主要</w:t>
      </w:r>
      <w:r>
        <w:rPr>
          <w:rFonts w:hint="eastAsia" w:ascii="仿宋_GB2312" w:hAnsi="仿宋_GB2312" w:eastAsia="仿宋_GB2312" w:cs="仿宋_GB2312"/>
          <w:spacing w:val="0"/>
          <w:sz w:val="32"/>
          <w:szCs w:val="32"/>
          <w:lang w:val="en-US" w:eastAsia="zh-CN" w:bidi="zh-CN"/>
        </w:rPr>
        <w:t>是人员增加相应的养老保险缴费增加</w:t>
      </w:r>
      <w:r>
        <w:rPr>
          <w:rFonts w:hint="eastAsia" w:ascii="仿宋_GB2312" w:hAnsi="仿宋_GB2312" w:eastAsia="仿宋_GB2312" w:cs="仿宋_GB2312"/>
          <w:spacing w:val="0"/>
          <w:sz w:val="32"/>
          <w:szCs w:val="32"/>
          <w:lang w:val="zh-CN" w:eastAsia="zh-CN" w:bidi="zh-CN"/>
        </w:rPr>
        <w:t>。</w:t>
      </w:r>
    </w:p>
    <w:p>
      <w:pPr>
        <w:pStyle w:val="16"/>
        <w:keepNext w:val="0"/>
        <w:keepLines w:val="0"/>
        <w:pageBreakBefore w:val="0"/>
        <w:numPr>
          <w:ilvl w:val="0"/>
          <w:numId w:val="0"/>
        </w:numPr>
        <w:shd w:val="clear" w:color="auto" w:fill="auto"/>
        <w:tabs>
          <w:tab w:val="left" w:pos="1107"/>
        </w:tabs>
        <w:kinsoku/>
        <w:wordWrap/>
        <w:overflowPunct/>
        <w:topLinePunct w:val="0"/>
        <w:autoSpaceDE/>
        <w:autoSpaceDN/>
        <w:bidi w:val="0"/>
        <w:adjustRightInd/>
        <w:snapToGrid/>
        <w:spacing w:before="0" w:after="0" w:line="360" w:lineRule="auto"/>
        <w:ind w:firstLine="643" w:firstLineChars="200"/>
        <w:jc w:val="both"/>
        <w:textAlignment w:val="auto"/>
        <w:rPr>
          <w:rFonts w:hint="eastAsia" w:ascii="仿宋_GB2312" w:hAnsi="仿宋_GB2312" w:eastAsia="仿宋_GB2312" w:cs="仿宋_GB2312"/>
          <w:spacing w:val="0"/>
          <w:sz w:val="32"/>
          <w:szCs w:val="32"/>
          <w:lang w:val="zh-CN" w:eastAsia="zh-CN" w:bidi="zh-CN"/>
        </w:rPr>
      </w:pPr>
      <w:r>
        <w:rPr>
          <w:rFonts w:hint="eastAsia" w:ascii="仿宋_GB2312" w:hAnsi="仿宋_GB2312" w:eastAsia="仿宋_GB2312" w:cs="仿宋_GB2312"/>
          <w:b/>
          <w:bCs/>
          <w:spacing w:val="0"/>
          <w:sz w:val="32"/>
          <w:szCs w:val="32"/>
          <w:lang w:val="en-US" w:eastAsia="zh-CN" w:bidi="zh-CN"/>
        </w:rPr>
        <w:t xml:space="preserve">3. </w:t>
      </w:r>
      <w:r>
        <w:rPr>
          <w:rFonts w:hint="eastAsia" w:ascii="仿宋_GB2312" w:hAnsi="仿宋_GB2312" w:eastAsia="仿宋_GB2312" w:cs="仿宋_GB2312"/>
          <w:b/>
          <w:bCs/>
          <w:spacing w:val="0"/>
          <w:sz w:val="32"/>
          <w:szCs w:val="32"/>
          <w:lang w:val="zh-CN" w:eastAsia="zh-CN" w:bidi="zh-CN"/>
        </w:rPr>
        <w:t>卫生健康支出</w:t>
      </w:r>
      <w:r>
        <w:rPr>
          <w:rFonts w:hint="eastAsia" w:ascii="仿宋_GB2312" w:hAnsi="仿宋_GB2312" w:eastAsia="仿宋_GB2312" w:cs="仿宋_GB2312"/>
          <w:b/>
          <w:bCs/>
          <w:spacing w:val="0"/>
          <w:sz w:val="32"/>
          <w:szCs w:val="32"/>
          <w:lang w:val="en-US" w:eastAsia="zh-CN" w:bidi="zh-CN"/>
        </w:rPr>
        <w:t>（类）行政事业单位医疗（款） 行政单位医疗</w:t>
      </w:r>
      <w:r>
        <w:rPr>
          <w:rFonts w:hint="eastAsia" w:ascii="仿宋_GB2312" w:hAnsi="仿宋_GB2312" w:eastAsia="仿宋_GB2312" w:cs="仿宋_GB2312"/>
          <w:b/>
          <w:bCs/>
          <w:spacing w:val="0"/>
          <w:sz w:val="32"/>
          <w:szCs w:val="32"/>
          <w:lang w:val="zh-CN" w:eastAsia="zh-CN" w:bidi="zh-CN"/>
        </w:rPr>
        <w:t>（项）</w:t>
      </w:r>
      <w:r>
        <w:rPr>
          <w:rFonts w:hint="eastAsia" w:ascii="仿宋_GB2312" w:hAnsi="仿宋_GB2312" w:eastAsia="仿宋_GB2312" w:cs="仿宋_GB2312"/>
          <w:spacing w:val="0"/>
          <w:sz w:val="32"/>
          <w:szCs w:val="32"/>
          <w:lang w:val="zh-CN" w:eastAsia="zh-CN" w:bidi="zh-CN"/>
        </w:rPr>
        <w:t>20</w:t>
      </w:r>
      <w:r>
        <w:rPr>
          <w:rFonts w:hint="eastAsia" w:ascii="仿宋_GB2312" w:hAnsi="仿宋_GB2312" w:eastAsia="仿宋_GB2312" w:cs="仿宋_GB2312"/>
          <w:spacing w:val="0"/>
          <w:sz w:val="32"/>
          <w:szCs w:val="32"/>
          <w:lang w:val="en-US" w:eastAsia="zh-CN" w:bidi="zh-CN"/>
        </w:rPr>
        <w:t>20</w:t>
      </w:r>
      <w:r>
        <w:rPr>
          <w:rFonts w:hint="eastAsia" w:ascii="仿宋_GB2312" w:hAnsi="仿宋_GB2312" w:eastAsia="仿宋_GB2312" w:cs="仿宋_GB2312"/>
          <w:spacing w:val="0"/>
          <w:sz w:val="32"/>
          <w:szCs w:val="32"/>
          <w:lang w:val="zh-CN" w:eastAsia="zh-CN" w:bidi="zh-CN"/>
        </w:rPr>
        <w:t>年预算</w:t>
      </w:r>
      <w:r>
        <w:rPr>
          <w:rFonts w:hint="eastAsia" w:ascii="仿宋_GB2312" w:hAnsi="仿宋_GB2312" w:eastAsia="仿宋_GB2312" w:cs="仿宋_GB2312"/>
          <w:spacing w:val="0"/>
          <w:sz w:val="32"/>
          <w:szCs w:val="32"/>
          <w:lang w:val="en-US" w:eastAsia="zh-CN" w:bidi="zh-CN"/>
        </w:rPr>
        <w:t>1.14</w:t>
      </w:r>
      <w:r>
        <w:rPr>
          <w:rFonts w:hint="eastAsia" w:ascii="仿宋_GB2312" w:hAnsi="仿宋_GB2312" w:eastAsia="仿宋_GB2312" w:cs="仿宋_GB2312"/>
          <w:spacing w:val="0"/>
          <w:sz w:val="32"/>
          <w:szCs w:val="32"/>
          <w:lang w:val="zh-CN" w:eastAsia="zh-CN" w:bidi="zh-CN"/>
        </w:rPr>
        <w:t>万元，比20</w:t>
      </w:r>
      <w:r>
        <w:rPr>
          <w:rFonts w:hint="eastAsia" w:ascii="仿宋_GB2312" w:hAnsi="仿宋_GB2312" w:eastAsia="仿宋_GB2312" w:cs="仿宋_GB2312"/>
          <w:spacing w:val="0"/>
          <w:sz w:val="32"/>
          <w:szCs w:val="32"/>
          <w:lang w:val="en-US" w:eastAsia="zh-CN" w:bidi="zh-CN"/>
        </w:rPr>
        <w:t>20</w:t>
      </w:r>
      <w:r>
        <w:rPr>
          <w:rFonts w:hint="eastAsia" w:ascii="仿宋_GB2312" w:hAnsi="仿宋_GB2312" w:eastAsia="仿宋_GB2312" w:cs="仿宋_GB2312"/>
          <w:spacing w:val="0"/>
          <w:sz w:val="32"/>
          <w:szCs w:val="32"/>
          <w:lang w:val="zh-CN" w:eastAsia="zh-CN" w:bidi="zh-CN"/>
        </w:rPr>
        <w:t>年预算</w:t>
      </w:r>
      <w:r>
        <w:rPr>
          <w:rFonts w:hint="eastAsia" w:ascii="仿宋_GB2312" w:hAnsi="仿宋_GB2312" w:eastAsia="仿宋_GB2312" w:cs="仿宋_GB2312"/>
          <w:spacing w:val="0"/>
          <w:sz w:val="32"/>
          <w:szCs w:val="32"/>
          <w:lang w:val="en-US" w:eastAsia="zh-CN" w:bidi="zh-CN"/>
        </w:rPr>
        <w:t>增加0.41</w:t>
      </w:r>
      <w:r>
        <w:rPr>
          <w:rFonts w:hint="eastAsia" w:ascii="仿宋_GB2312" w:hAnsi="仿宋_GB2312" w:eastAsia="仿宋_GB2312" w:cs="仿宋_GB2312"/>
          <w:spacing w:val="0"/>
          <w:sz w:val="32"/>
          <w:szCs w:val="32"/>
          <w:lang w:val="zh-CN" w:eastAsia="zh-CN" w:bidi="zh-CN"/>
        </w:rPr>
        <w:t>万元，</w:t>
      </w:r>
      <w:r>
        <w:rPr>
          <w:rFonts w:hint="eastAsia" w:ascii="仿宋_GB2312" w:hAnsi="仿宋_GB2312" w:eastAsia="仿宋_GB2312" w:cs="仿宋_GB2312"/>
          <w:spacing w:val="0"/>
          <w:sz w:val="32"/>
          <w:szCs w:val="32"/>
          <w:lang w:val="en-US" w:eastAsia="zh-CN" w:bidi="zh-CN"/>
        </w:rPr>
        <w:t>增长56.16</w:t>
      </w:r>
      <w:r>
        <w:rPr>
          <w:rFonts w:hint="eastAsia" w:ascii="仿宋_GB2312" w:hAnsi="仿宋_GB2312" w:eastAsia="仿宋_GB2312" w:cs="仿宋_GB2312"/>
          <w:spacing w:val="0"/>
          <w:sz w:val="32"/>
          <w:szCs w:val="32"/>
          <w:lang w:val="zh-CN" w:eastAsia="zh-CN" w:bidi="zh-CN"/>
        </w:rPr>
        <w:t>%,</w:t>
      </w:r>
      <w:r>
        <w:rPr>
          <w:rFonts w:hint="eastAsia" w:ascii="仿宋_GB2312" w:hAnsi="仿宋_GB2312" w:eastAsia="仿宋_GB2312" w:cs="仿宋_GB2312"/>
          <w:spacing w:val="0"/>
          <w:sz w:val="32"/>
          <w:szCs w:val="32"/>
          <w:lang w:val="en-US" w:eastAsia="zh-CN" w:bidi="zh-CN"/>
        </w:rPr>
        <w:t>增长</w:t>
      </w:r>
      <w:r>
        <w:rPr>
          <w:rFonts w:hint="eastAsia" w:ascii="仿宋_GB2312" w:hAnsi="仿宋_GB2312" w:eastAsia="仿宋_GB2312" w:cs="仿宋_GB2312"/>
          <w:spacing w:val="0"/>
          <w:sz w:val="32"/>
          <w:szCs w:val="32"/>
          <w:lang w:val="zh-CN" w:eastAsia="zh-CN" w:bidi="zh-CN"/>
        </w:rPr>
        <w:t>原因主要</w:t>
      </w:r>
      <w:r>
        <w:rPr>
          <w:rFonts w:hint="eastAsia" w:ascii="仿宋_GB2312" w:hAnsi="仿宋_GB2312" w:eastAsia="仿宋_GB2312" w:cs="仿宋_GB2312"/>
          <w:spacing w:val="0"/>
          <w:sz w:val="32"/>
          <w:szCs w:val="32"/>
          <w:lang w:val="en-US" w:eastAsia="zh-CN" w:bidi="zh-CN"/>
        </w:rPr>
        <w:t>是人员增加相应的医疗保险缴费增加。</w:t>
      </w:r>
    </w:p>
    <w:p>
      <w:pPr>
        <w:pStyle w:val="16"/>
        <w:keepNext w:val="0"/>
        <w:keepLines w:val="0"/>
        <w:pageBreakBefore w:val="0"/>
        <w:numPr>
          <w:ilvl w:val="0"/>
          <w:numId w:val="0"/>
        </w:numPr>
        <w:shd w:val="clear" w:color="auto" w:fill="auto"/>
        <w:tabs>
          <w:tab w:val="left" w:pos="1107"/>
        </w:tabs>
        <w:kinsoku/>
        <w:wordWrap/>
        <w:overflowPunct/>
        <w:topLinePunct w:val="0"/>
        <w:autoSpaceDE/>
        <w:autoSpaceDN/>
        <w:bidi w:val="0"/>
        <w:adjustRightInd/>
        <w:snapToGrid/>
        <w:spacing w:before="0" w:after="0" w:line="360" w:lineRule="auto"/>
        <w:ind w:firstLine="643" w:firstLineChars="200"/>
        <w:jc w:val="both"/>
        <w:textAlignment w:val="auto"/>
        <w:rPr>
          <w:rFonts w:hint="eastAsia" w:ascii="仿宋_GB2312" w:hAnsi="仿宋_GB2312" w:eastAsia="仿宋_GB2312" w:cs="仿宋_GB2312"/>
          <w:spacing w:val="0"/>
          <w:sz w:val="32"/>
          <w:szCs w:val="32"/>
          <w:lang w:val="zh-CN" w:eastAsia="zh-CN" w:bidi="zh-CN"/>
        </w:rPr>
      </w:pPr>
      <w:r>
        <w:rPr>
          <w:rFonts w:hint="eastAsia" w:ascii="仿宋_GB2312" w:hAnsi="仿宋_GB2312" w:eastAsia="仿宋_GB2312" w:cs="仿宋_GB2312"/>
          <w:b/>
          <w:bCs/>
          <w:spacing w:val="0"/>
          <w:sz w:val="32"/>
          <w:szCs w:val="32"/>
          <w:lang w:val="en-US" w:eastAsia="zh-CN" w:bidi="zh-CN"/>
        </w:rPr>
        <w:t>4. 住</w:t>
      </w:r>
      <w:r>
        <w:rPr>
          <w:rFonts w:hint="eastAsia" w:ascii="仿宋_GB2312" w:hAnsi="仿宋_GB2312" w:eastAsia="仿宋_GB2312" w:cs="仿宋_GB2312"/>
          <w:b/>
          <w:bCs/>
          <w:spacing w:val="0"/>
          <w:sz w:val="32"/>
          <w:szCs w:val="32"/>
          <w:lang w:val="zh-CN" w:eastAsia="zh-CN" w:bidi="zh-CN"/>
        </w:rPr>
        <w:t>房</w:t>
      </w:r>
      <w:r>
        <w:rPr>
          <w:rFonts w:hint="eastAsia" w:ascii="仿宋_GB2312" w:hAnsi="仿宋_GB2312" w:eastAsia="仿宋_GB2312" w:cs="仿宋_GB2312"/>
          <w:b/>
          <w:bCs/>
          <w:spacing w:val="0"/>
          <w:sz w:val="32"/>
          <w:szCs w:val="32"/>
          <w:lang w:val="en-US" w:eastAsia="zh-CN" w:bidi="zh-CN"/>
        </w:rPr>
        <w:t>保障支出（类）住房改革支出（款）住房公积金（项）</w:t>
      </w:r>
      <w:r>
        <w:rPr>
          <w:rFonts w:hint="eastAsia" w:ascii="仿宋_GB2312" w:hAnsi="仿宋_GB2312" w:eastAsia="仿宋_GB2312" w:cs="仿宋_GB2312"/>
          <w:spacing w:val="0"/>
          <w:sz w:val="32"/>
          <w:szCs w:val="32"/>
          <w:lang w:val="en-US" w:eastAsia="zh-CN" w:bidi="zh-CN"/>
        </w:rPr>
        <w:t>2021年预算3.97万元，比2020年预算增加2.7万元，增长212.60%,增长原因主要是人员增加及人员工资基数正常增长相应的住房公积金缴存基数增长。</w:t>
      </w:r>
    </w:p>
    <w:p>
      <w:pPr>
        <w:pStyle w:val="3"/>
        <w:autoSpaceDE w:val="0"/>
        <w:autoSpaceDN w:val="0"/>
        <w:spacing w:before="4" w:line="560" w:lineRule="exact"/>
        <w:ind w:right="975" w:firstLine="643" w:firstLineChars="200"/>
        <w:jc w:val="both"/>
        <w:rPr>
          <w:rFonts w:hint="eastAsia"/>
          <w:b/>
          <w:bCs/>
        </w:rPr>
      </w:pPr>
      <w:r>
        <w:rPr>
          <w:rFonts w:hint="eastAsia"/>
          <w:b/>
          <w:bCs/>
        </w:rPr>
        <w:t>三、关于20</w:t>
      </w:r>
      <w:r>
        <w:rPr>
          <w:rFonts w:hint="eastAsia"/>
          <w:b/>
          <w:bCs/>
          <w:lang w:val="en-US" w:eastAsia="zh-CN"/>
        </w:rPr>
        <w:t>21</w:t>
      </w:r>
      <w:r>
        <w:rPr>
          <w:rFonts w:hint="eastAsia"/>
          <w:b/>
          <w:bCs/>
        </w:rPr>
        <w:t>年一般公共预算基本支出情况说明</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textAlignment w:val="auto"/>
        <w:rPr>
          <w:rFonts w:hint="eastAsia" w:ascii="仿宋_GB2312" w:hAnsi="仿宋_GB2312" w:eastAsia="仿宋_GB2312" w:cs="仿宋_GB2312"/>
          <w:spacing w:val="0"/>
          <w:sz w:val="32"/>
          <w:szCs w:val="32"/>
          <w:lang w:val="en-US" w:eastAsia="zh-CN" w:bidi="zh-CN"/>
        </w:rPr>
      </w:pPr>
      <w:r>
        <w:rPr>
          <w:rFonts w:hint="eastAsia" w:ascii="仿宋_GB2312" w:hAnsi="仿宋_GB2312" w:eastAsia="仿宋_GB2312" w:cs="仿宋_GB2312"/>
          <w:spacing w:val="0"/>
          <w:sz w:val="32"/>
          <w:szCs w:val="32"/>
          <w:lang w:val="en-US" w:eastAsia="zh-CN" w:bidi="zh-CN"/>
        </w:rPr>
        <w:t>石台县团县委2021年一般公共预算基本支出31.37万元，其中：</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textAlignment w:val="auto"/>
        <w:rPr>
          <w:rFonts w:hint="eastAsia" w:ascii="仿宋_GB2312" w:hAnsi="仿宋_GB2312" w:eastAsia="仿宋_GB2312" w:cs="仿宋_GB2312"/>
          <w:spacing w:val="0"/>
          <w:sz w:val="32"/>
          <w:szCs w:val="32"/>
          <w:lang w:val="en-US" w:eastAsia="zh-CN" w:bidi="zh-CN"/>
        </w:rPr>
      </w:pPr>
      <w:r>
        <w:rPr>
          <w:rFonts w:hint="eastAsia" w:ascii="仿宋_GB2312" w:hAnsi="仿宋_GB2312" w:eastAsia="仿宋_GB2312" w:cs="仿宋_GB2312"/>
          <w:spacing w:val="0"/>
          <w:sz w:val="32"/>
          <w:szCs w:val="32"/>
          <w:lang w:val="en-US" w:eastAsia="zh-CN" w:bidi="zh-CN"/>
        </w:rPr>
        <w:t>工资福利支出25.70万元，主要包括：基本工资、津贴补贴、奖金、机关事业单位基本养老保险缴费、职工基本医疗保险缴费、住房公积金；商品和服务支出5.67万元，主要包括：办公费、印刷费、电费、邮电费、物业管理费、差旅费、会议费、培训费、公务接待费、劳务费、工会经费、其他交通费用、其他商品和服务支出。</w:t>
      </w:r>
    </w:p>
    <w:p>
      <w:pPr>
        <w:pStyle w:val="3"/>
        <w:autoSpaceDE w:val="0"/>
        <w:autoSpaceDN w:val="0"/>
        <w:spacing w:before="4" w:line="560" w:lineRule="exact"/>
        <w:ind w:right="975" w:firstLine="643" w:firstLineChars="200"/>
        <w:jc w:val="both"/>
        <w:rPr>
          <w:rFonts w:hint="eastAsia"/>
          <w:b/>
          <w:bCs/>
        </w:rPr>
      </w:pPr>
      <w:r>
        <w:rPr>
          <w:rFonts w:hint="eastAsia"/>
          <w:b/>
          <w:bCs/>
        </w:rPr>
        <w:t>四、关于20</w:t>
      </w:r>
      <w:r>
        <w:rPr>
          <w:rFonts w:hint="eastAsia"/>
          <w:b/>
          <w:bCs/>
          <w:lang w:val="en-US" w:eastAsia="zh-CN"/>
        </w:rPr>
        <w:t>21</w:t>
      </w:r>
      <w:r>
        <w:rPr>
          <w:rFonts w:hint="eastAsia"/>
          <w:b/>
          <w:bCs/>
        </w:rPr>
        <w:t>年政府性基金预算拨款情况说明</w:t>
      </w:r>
    </w:p>
    <w:p>
      <w:pPr>
        <w:pStyle w:val="3"/>
        <w:autoSpaceDE w:val="0"/>
        <w:autoSpaceDN w:val="0"/>
        <w:spacing w:before="4" w:line="560" w:lineRule="exact"/>
        <w:ind w:right="975" w:firstLine="640" w:firstLineChars="200"/>
        <w:jc w:val="both"/>
        <w:rPr>
          <w:rFonts w:hint="eastAsia"/>
          <w:lang w:val="en-US"/>
        </w:rPr>
      </w:pPr>
      <w:r>
        <w:rPr>
          <w:rFonts w:hint="eastAsia"/>
          <w:lang w:val="en-US" w:eastAsia="zh-CN"/>
        </w:rPr>
        <w:t>石台县团县委</w:t>
      </w:r>
      <w:r>
        <w:rPr>
          <w:rFonts w:hint="eastAsia"/>
          <w:lang w:val="en-US"/>
        </w:rPr>
        <w:t>20</w:t>
      </w:r>
      <w:r>
        <w:rPr>
          <w:rFonts w:hint="eastAsia"/>
          <w:lang w:val="en-US" w:eastAsia="zh-CN"/>
        </w:rPr>
        <w:t>21</w:t>
      </w:r>
      <w:r>
        <w:rPr>
          <w:rFonts w:hint="eastAsia"/>
          <w:lang w:val="en-US"/>
        </w:rPr>
        <w:t>年</w:t>
      </w:r>
      <w:r>
        <w:rPr>
          <w:rFonts w:hint="eastAsia"/>
          <w:lang w:val="en-US" w:eastAsia="zh-CN"/>
        </w:rPr>
        <w:t>没有</w:t>
      </w:r>
      <w:r>
        <w:rPr>
          <w:rFonts w:hint="eastAsia"/>
          <w:lang w:val="en-US"/>
        </w:rPr>
        <w:t>政府性基金预算拨款收入，</w:t>
      </w:r>
      <w:r>
        <w:rPr>
          <w:rFonts w:hint="eastAsia"/>
          <w:lang w:val="en-US" w:eastAsia="zh-CN"/>
        </w:rPr>
        <w:t>也没有使用</w:t>
      </w:r>
      <w:r>
        <w:rPr>
          <w:rFonts w:hint="eastAsia"/>
          <w:lang w:val="en-US"/>
        </w:rPr>
        <w:t>政府性基金预算拨款安排</w:t>
      </w:r>
      <w:r>
        <w:rPr>
          <w:rFonts w:hint="eastAsia"/>
          <w:lang w:val="en-US" w:eastAsia="zh-CN"/>
        </w:rPr>
        <w:t>的</w:t>
      </w:r>
      <w:r>
        <w:rPr>
          <w:rFonts w:hint="eastAsia"/>
          <w:lang w:val="en-US"/>
        </w:rPr>
        <w:t>支出。</w:t>
      </w:r>
    </w:p>
    <w:p>
      <w:pPr>
        <w:pStyle w:val="3"/>
        <w:autoSpaceDE w:val="0"/>
        <w:autoSpaceDN w:val="0"/>
        <w:spacing w:before="4" w:line="560" w:lineRule="exact"/>
        <w:ind w:right="975" w:firstLine="643" w:firstLineChars="200"/>
        <w:jc w:val="both"/>
        <w:rPr>
          <w:rFonts w:hint="eastAsia"/>
          <w:b/>
          <w:bCs/>
        </w:rPr>
      </w:pPr>
      <w:r>
        <w:rPr>
          <w:rFonts w:hint="eastAsia"/>
          <w:b/>
          <w:bCs/>
        </w:rPr>
        <w:t>五、关于20</w:t>
      </w:r>
      <w:r>
        <w:rPr>
          <w:rFonts w:hint="eastAsia"/>
          <w:b/>
          <w:bCs/>
          <w:lang w:val="en-US" w:eastAsia="zh-CN"/>
        </w:rPr>
        <w:t>21</w:t>
      </w:r>
      <w:r>
        <w:rPr>
          <w:rFonts w:hint="eastAsia"/>
          <w:b/>
          <w:bCs/>
        </w:rPr>
        <w:t>年收支预算总体情况说明</w:t>
      </w:r>
    </w:p>
    <w:p>
      <w:pPr>
        <w:pStyle w:val="3"/>
        <w:autoSpaceDE w:val="0"/>
        <w:autoSpaceDN w:val="0"/>
        <w:spacing w:before="4" w:line="560" w:lineRule="exact"/>
        <w:ind w:right="975" w:firstLine="640" w:firstLineChars="200"/>
        <w:jc w:val="both"/>
        <w:rPr>
          <w:rFonts w:hint="eastAsia"/>
          <w:lang w:val="en-US" w:eastAsia="zh-CN"/>
        </w:rPr>
      </w:pPr>
      <w:r>
        <w:rPr>
          <w:rFonts w:hint="eastAsia"/>
          <w:lang w:val="en-US" w:eastAsia="zh-CN"/>
        </w:rPr>
        <w:t>按照综合预算管理原则，石台县团县委所有收入和支出均纳入部门预算管理。石台县团县委2021年收支总预算50.37万元，收入为一般公共预算拨款收入，支出包括：一般公共服务支出、社会保障和就业支出、卫生健康支出、住房保障支出。</w:t>
      </w:r>
    </w:p>
    <w:p>
      <w:pPr>
        <w:pStyle w:val="3"/>
        <w:autoSpaceDE w:val="0"/>
        <w:autoSpaceDN w:val="0"/>
        <w:spacing w:before="4" w:line="560" w:lineRule="exact"/>
        <w:ind w:right="975" w:firstLine="643" w:firstLineChars="200"/>
        <w:jc w:val="both"/>
        <w:rPr>
          <w:rFonts w:hint="eastAsia"/>
          <w:b/>
          <w:bCs/>
        </w:rPr>
      </w:pPr>
      <w:r>
        <w:rPr>
          <w:rFonts w:hint="eastAsia"/>
          <w:b/>
          <w:bCs/>
        </w:rPr>
        <w:t>六、关于20</w:t>
      </w:r>
      <w:r>
        <w:rPr>
          <w:rFonts w:hint="eastAsia"/>
          <w:b/>
          <w:bCs/>
          <w:lang w:val="en-US" w:eastAsia="zh-CN"/>
        </w:rPr>
        <w:t>21</w:t>
      </w:r>
      <w:r>
        <w:rPr>
          <w:rFonts w:hint="eastAsia"/>
          <w:b/>
          <w:bCs/>
        </w:rPr>
        <w:t>年收入预算情况说明</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textAlignment w:val="auto"/>
        <w:rPr>
          <w:rFonts w:hint="eastAsia" w:ascii="仿宋_GB2312" w:hAnsi="仿宋_GB2312" w:eastAsia="仿宋_GB2312" w:cs="仿宋_GB2312"/>
          <w:color w:val="000000"/>
          <w:spacing w:val="0"/>
          <w:sz w:val="32"/>
          <w:szCs w:val="32"/>
          <w:lang w:val="en-US" w:eastAsia="zh-CN" w:bidi="zh-CN"/>
        </w:rPr>
      </w:pPr>
      <w:r>
        <w:rPr>
          <w:rFonts w:hint="eastAsia" w:ascii="仿宋_GB2312" w:hAnsi="仿宋_GB2312" w:eastAsia="仿宋_GB2312" w:cs="仿宋_GB2312"/>
          <w:color w:val="000000"/>
          <w:spacing w:val="0"/>
          <w:sz w:val="32"/>
          <w:szCs w:val="32"/>
          <w:lang w:val="en-US" w:eastAsia="zh-CN" w:bidi="zh-CN"/>
        </w:rPr>
        <w:t>石台县团县委2021年收入预算50.37万元，其中： 一般公共预算拨款收入50.37万元，占100%，比2020年预算增加12.69万元，增长33.68%,增长原因主要是人员增加1名及相应的保障经费增加。</w:t>
      </w:r>
    </w:p>
    <w:p>
      <w:pPr>
        <w:pStyle w:val="3"/>
        <w:autoSpaceDE w:val="0"/>
        <w:autoSpaceDN w:val="0"/>
        <w:spacing w:before="4" w:line="560" w:lineRule="exact"/>
        <w:ind w:right="975" w:firstLine="643" w:firstLineChars="200"/>
        <w:jc w:val="both"/>
        <w:rPr>
          <w:rFonts w:hint="eastAsia"/>
          <w:b/>
          <w:bCs/>
        </w:rPr>
      </w:pPr>
      <w:r>
        <w:rPr>
          <w:rFonts w:hint="eastAsia"/>
          <w:b/>
          <w:bCs/>
        </w:rPr>
        <w:t>七、关于20</w:t>
      </w:r>
      <w:r>
        <w:rPr>
          <w:rFonts w:hint="eastAsia"/>
          <w:b/>
          <w:bCs/>
          <w:lang w:val="en-US" w:eastAsia="zh-CN"/>
        </w:rPr>
        <w:t>21</w:t>
      </w:r>
      <w:r>
        <w:rPr>
          <w:rFonts w:hint="eastAsia"/>
          <w:b/>
          <w:bCs/>
        </w:rPr>
        <w:t>年支出预算情况说明</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textAlignment w:val="auto"/>
        <w:rPr>
          <w:rFonts w:hint="eastAsia" w:ascii="仿宋_GB2312" w:hAnsi="仿宋_GB2312" w:eastAsia="仿宋_GB2312" w:cs="仿宋_GB2312"/>
          <w:color w:val="000000"/>
          <w:spacing w:val="0"/>
          <w:sz w:val="32"/>
          <w:szCs w:val="32"/>
          <w:lang w:val="en-US" w:eastAsia="zh-CN" w:bidi="zh-CN"/>
        </w:rPr>
      </w:pPr>
      <w:r>
        <w:rPr>
          <w:rFonts w:hint="eastAsia" w:ascii="仿宋_GB2312" w:hAnsi="仿宋_GB2312" w:eastAsia="仿宋_GB2312" w:cs="仿宋_GB2312"/>
          <w:color w:val="000000"/>
          <w:spacing w:val="0"/>
          <w:sz w:val="32"/>
          <w:szCs w:val="32"/>
          <w:lang w:val="en-US" w:eastAsia="zh-CN" w:bidi="zh-CN"/>
        </w:rPr>
        <w:t>石台县团县委2021年支出预算50.37万元，比2020年预算增加12.69万元，增长33.68%,增长原因主要是人员增加1名及相应的保障经费增加。其中:基本支出31.37万元，占62.28%,主要用于保障机构日常运转、完成日常工作任务等；项目支出19.00万元，占37.72%,主要用于希望工程、青少年志愿者活动、未成年人思想道德建设及乡镇团委工作等专项经费支出。</w:t>
      </w:r>
    </w:p>
    <w:p>
      <w:pPr>
        <w:pStyle w:val="3"/>
        <w:autoSpaceDE w:val="0"/>
        <w:autoSpaceDN w:val="0"/>
        <w:spacing w:before="4" w:line="560" w:lineRule="exact"/>
        <w:ind w:right="975" w:firstLine="643" w:firstLineChars="200"/>
        <w:jc w:val="both"/>
        <w:rPr>
          <w:rFonts w:hint="eastAsia"/>
          <w:b/>
          <w:bCs/>
        </w:rPr>
      </w:pPr>
      <w:r>
        <w:rPr>
          <w:rFonts w:hint="eastAsia"/>
          <w:b/>
          <w:bCs/>
        </w:rPr>
        <w:t>八、关于20</w:t>
      </w:r>
      <w:r>
        <w:rPr>
          <w:rFonts w:hint="eastAsia"/>
          <w:b/>
          <w:bCs/>
          <w:lang w:val="en-US" w:eastAsia="zh-CN"/>
        </w:rPr>
        <w:t>21</w:t>
      </w:r>
      <w:r>
        <w:rPr>
          <w:rFonts w:hint="eastAsia"/>
          <w:b/>
          <w:bCs/>
        </w:rPr>
        <w:t>年国有资本经营预算拨款情况说明</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textAlignment w:val="auto"/>
        <w:rPr>
          <w:rFonts w:hint="eastAsia" w:ascii="仿宋_GB2312" w:hAnsi="仿宋_GB2312" w:eastAsia="仿宋_GB2312" w:cs="仿宋_GB2312"/>
          <w:color w:val="000000"/>
          <w:spacing w:val="0"/>
          <w:sz w:val="32"/>
          <w:szCs w:val="32"/>
          <w:lang w:val="en-US" w:eastAsia="zh-CN" w:bidi="zh-CN"/>
        </w:rPr>
      </w:pPr>
      <w:r>
        <w:rPr>
          <w:rFonts w:hint="eastAsia" w:ascii="仿宋_GB2312" w:hAnsi="仿宋_GB2312" w:eastAsia="仿宋_GB2312" w:cs="仿宋_GB2312"/>
          <w:color w:val="000000"/>
          <w:spacing w:val="0"/>
          <w:sz w:val="32"/>
          <w:szCs w:val="32"/>
          <w:lang w:val="en-US" w:eastAsia="zh-CN" w:bidi="zh-CN"/>
        </w:rPr>
        <w:t>石台县团县委2021年没有国有资本经营预算拨款收入，也没有使用国有资本经营预算拨款安排的支出。</w:t>
      </w:r>
    </w:p>
    <w:p>
      <w:pPr>
        <w:pStyle w:val="3"/>
        <w:autoSpaceDE w:val="0"/>
        <w:autoSpaceDN w:val="0"/>
        <w:spacing w:before="4" w:line="560" w:lineRule="exact"/>
        <w:ind w:right="975" w:firstLine="643" w:firstLineChars="200"/>
        <w:jc w:val="both"/>
        <w:rPr>
          <w:rFonts w:hint="eastAsia"/>
          <w:b/>
          <w:bCs/>
          <w:lang w:val="en-US"/>
        </w:rPr>
      </w:pPr>
      <w:r>
        <w:rPr>
          <w:rFonts w:hint="eastAsia"/>
          <w:b/>
          <w:bCs/>
          <w:lang w:val="en-US" w:eastAsia="zh-CN"/>
        </w:rPr>
        <w:t>九、</w:t>
      </w:r>
      <w:r>
        <w:rPr>
          <w:rFonts w:hint="eastAsia"/>
          <w:b/>
          <w:bCs/>
          <w:lang w:val="en-US"/>
        </w:rPr>
        <w:t>批复绩效目标的项目及绩效目标设置情况说明</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textAlignment w:val="auto"/>
        <w:rPr>
          <w:rFonts w:hint="default" w:ascii="仿宋_GB2312" w:hAnsi="仿宋_GB2312" w:eastAsia="仿宋_GB2312" w:cs="仿宋_GB2312"/>
          <w:color w:val="000000"/>
          <w:spacing w:val="0"/>
          <w:sz w:val="32"/>
          <w:szCs w:val="32"/>
          <w:lang w:val="en-US" w:eastAsia="zh-CN" w:bidi="zh-CN"/>
        </w:rPr>
      </w:pPr>
      <w:r>
        <w:rPr>
          <w:rFonts w:hint="eastAsia" w:ascii="仿宋_GB2312" w:hAnsi="仿宋_GB2312" w:eastAsia="仿宋_GB2312" w:cs="仿宋_GB2312"/>
          <w:color w:val="000000"/>
          <w:spacing w:val="0"/>
          <w:sz w:val="32"/>
          <w:szCs w:val="32"/>
          <w:lang w:val="en-US" w:eastAsia="zh-CN" w:bidi="zh-CN"/>
        </w:rPr>
        <w:t>石台县团县委2021年按照规定设置绩效目标的项目1个，其中：项目绩效目标为保证人员经费正常发放;保证单位工作经费正常运转、各项工作任务顺利开展。实行单位自评。</w:t>
      </w:r>
    </w:p>
    <w:p>
      <w:pPr>
        <w:pStyle w:val="3"/>
        <w:autoSpaceDE w:val="0"/>
        <w:autoSpaceDN w:val="0"/>
        <w:spacing w:before="4" w:line="560" w:lineRule="exact"/>
        <w:ind w:right="975" w:firstLine="643" w:firstLineChars="200"/>
        <w:jc w:val="both"/>
        <w:rPr>
          <w:rFonts w:hint="eastAsia"/>
          <w:b/>
          <w:bCs/>
          <w:lang w:val="en-US" w:eastAsia="zh-CN"/>
        </w:rPr>
      </w:pPr>
      <w:r>
        <w:rPr>
          <w:rFonts w:hint="eastAsia"/>
          <w:b/>
          <w:bCs/>
          <w:lang w:val="en-US" w:eastAsia="zh-CN"/>
        </w:rPr>
        <w:t>十、</w:t>
      </w:r>
      <w:r>
        <w:rPr>
          <w:rFonts w:hint="eastAsia"/>
          <w:b/>
          <w:bCs/>
          <w:lang w:val="en-US" w:eastAsia="zh-CN"/>
        </w:rPr>
        <w:tab/>
      </w:r>
      <w:r>
        <w:rPr>
          <w:rFonts w:hint="eastAsia"/>
          <w:b/>
          <w:bCs/>
          <w:lang w:val="en-US" w:eastAsia="zh-CN"/>
        </w:rPr>
        <w:t>其他重要事项情况说明</w:t>
      </w:r>
    </w:p>
    <w:p>
      <w:pPr>
        <w:pStyle w:val="3"/>
        <w:autoSpaceDE w:val="0"/>
        <w:autoSpaceDN w:val="0"/>
        <w:spacing w:before="4" w:line="560" w:lineRule="exact"/>
        <w:ind w:right="975" w:firstLine="643" w:firstLineChars="200"/>
        <w:jc w:val="both"/>
        <w:rPr>
          <w:rFonts w:hint="eastAsia" w:ascii="楷体" w:hAnsi="楷体" w:eastAsia="楷体" w:cs="楷体"/>
          <w:b/>
          <w:bCs/>
        </w:rPr>
      </w:pPr>
      <w:r>
        <w:rPr>
          <w:rFonts w:hint="eastAsia" w:ascii="楷体" w:hAnsi="楷体" w:eastAsia="楷体" w:cs="楷体"/>
          <w:b/>
          <w:bCs/>
        </w:rPr>
        <w:t>（一）</w:t>
      </w:r>
      <w:r>
        <w:rPr>
          <w:rFonts w:hint="eastAsia" w:ascii="楷体" w:hAnsi="楷体" w:eastAsia="楷体" w:cs="楷体"/>
          <w:b/>
          <w:bCs/>
        </w:rPr>
        <w:tab/>
      </w:r>
      <w:r>
        <w:rPr>
          <w:rFonts w:hint="eastAsia" w:ascii="楷体" w:hAnsi="楷体" w:eastAsia="楷体" w:cs="楷体"/>
          <w:b/>
          <w:bCs/>
        </w:rPr>
        <w:t>机关运行经费。</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textAlignment w:val="auto"/>
        <w:rPr>
          <w:rFonts w:hint="eastAsia" w:asciiTheme="minorEastAsia" w:hAnsiTheme="minorEastAsia" w:eastAsiaTheme="minorEastAsia" w:cstheme="minorEastAsia"/>
          <w:sz w:val="28"/>
          <w:szCs w:val="28"/>
        </w:rPr>
      </w:pPr>
      <w:r>
        <w:rPr>
          <w:rFonts w:hint="eastAsia" w:ascii="仿宋_GB2312" w:hAnsi="仿宋_GB2312" w:eastAsia="仿宋_GB2312" w:cs="仿宋_GB2312"/>
          <w:spacing w:val="0"/>
          <w:sz w:val="32"/>
          <w:szCs w:val="32"/>
          <w:lang w:val="en-US" w:eastAsia="zh-CN" w:bidi="zh-CN"/>
        </w:rPr>
        <w:t>石台县团县委2021年机关运行经费财政拨款预算5.67万元，比2020年预算增加2.17万元，增长62.00%,增长主要原因:一是2021年预算增加了职工教育经费和工会经费:二是人员增加按定额标准核算的公用经费增加</w:t>
      </w:r>
      <w:r>
        <w:rPr>
          <w:rFonts w:hint="eastAsia" w:asciiTheme="minorEastAsia" w:hAnsiTheme="minorEastAsia" w:eastAsiaTheme="minorEastAsia" w:cstheme="minorEastAsia"/>
          <w:sz w:val="28"/>
          <w:szCs w:val="28"/>
        </w:rPr>
        <w:t>。</w:t>
      </w:r>
    </w:p>
    <w:p>
      <w:pPr>
        <w:pStyle w:val="3"/>
        <w:autoSpaceDE w:val="0"/>
        <w:autoSpaceDN w:val="0"/>
        <w:spacing w:before="4" w:line="560" w:lineRule="exact"/>
        <w:ind w:right="975" w:firstLine="643" w:firstLineChars="200"/>
        <w:jc w:val="both"/>
        <w:rPr>
          <w:rFonts w:hint="eastAsia" w:ascii="楷体" w:hAnsi="楷体" w:eastAsia="楷体" w:cs="楷体"/>
          <w:b/>
          <w:bCs/>
          <w:lang w:val="en-US" w:eastAsia="zh-CN"/>
        </w:rPr>
      </w:pPr>
      <w:r>
        <w:rPr>
          <w:rFonts w:hint="eastAsia" w:ascii="楷体" w:hAnsi="楷体" w:eastAsia="楷体" w:cs="楷体"/>
          <w:b/>
          <w:bCs/>
          <w:lang w:val="en-US" w:eastAsia="zh-CN"/>
        </w:rPr>
        <w:t>（二）</w:t>
      </w:r>
      <w:r>
        <w:rPr>
          <w:rFonts w:hint="eastAsia" w:ascii="楷体" w:hAnsi="楷体" w:eastAsia="楷体" w:cs="楷体"/>
          <w:b/>
          <w:bCs/>
          <w:lang w:val="en-US" w:eastAsia="zh-CN"/>
        </w:rPr>
        <w:tab/>
      </w:r>
      <w:r>
        <w:rPr>
          <w:rFonts w:hint="eastAsia" w:ascii="楷体" w:hAnsi="楷体" w:eastAsia="楷体" w:cs="楷体"/>
          <w:b/>
          <w:bCs/>
          <w:lang w:val="en-US" w:eastAsia="zh-CN"/>
        </w:rPr>
        <w:t>政府采购情况。</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jc w:val="both"/>
        <w:textAlignment w:val="auto"/>
        <w:rPr>
          <w:rFonts w:hint="eastAsia" w:ascii="仿宋_GB2312" w:hAnsi="仿宋_GB2312" w:eastAsia="仿宋_GB2312" w:cs="仿宋_GB2312"/>
          <w:b w:val="0"/>
          <w:bCs w:val="0"/>
          <w:color w:val="000000"/>
          <w:spacing w:val="0"/>
          <w:sz w:val="32"/>
          <w:szCs w:val="32"/>
          <w:lang w:val="en-US" w:eastAsia="zh-CN" w:bidi="zh-CN"/>
        </w:rPr>
      </w:pPr>
      <w:r>
        <w:rPr>
          <w:rFonts w:hint="eastAsia" w:ascii="仿宋_GB2312" w:hAnsi="仿宋_GB2312" w:eastAsia="仿宋_GB2312" w:cs="仿宋_GB2312"/>
          <w:b w:val="0"/>
          <w:bCs w:val="0"/>
          <w:color w:val="000000"/>
          <w:spacing w:val="0"/>
          <w:sz w:val="32"/>
          <w:szCs w:val="32"/>
          <w:lang w:val="en-US" w:eastAsia="zh-CN" w:bidi="zh-CN"/>
        </w:rPr>
        <w:t>石台县团县委2021年政府采购预算总额0.80万元。其中：政府采购货物预算0.80万元，政府采购服务预算0万元。</w:t>
      </w:r>
    </w:p>
    <w:p>
      <w:pPr>
        <w:pStyle w:val="3"/>
        <w:autoSpaceDE w:val="0"/>
        <w:autoSpaceDN w:val="0"/>
        <w:spacing w:before="4" w:line="560" w:lineRule="exact"/>
        <w:ind w:right="975" w:firstLine="643" w:firstLineChars="200"/>
        <w:jc w:val="both"/>
        <w:rPr>
          <w:rFonts w:hint="eastAsia" w:ascii="楷体" w:hAnsi="楷体" w:eastAsia="楷体" w:cs="楷体"/>
          <w:b/>
          <w:bCs/>
          <w:lang w:val="en-US" w:eastAsia="zh-CN"/>
        </w:rPr>
      </w:pPr>
      <w:r>
        <w:rPr>
          <w:rFonts w:hint="eastAsia" w:ascii="楷体" w:hAnsi="楷体" w:eastAsia="楷体" w:cs="楷体"/>
          <w:b/>
          <w:bCs/>
          <w:lang w:val="en-US" w:eastAsia="zh-CN"/>
        </w:rPr>
        <w:t>（三）</w:t>
      </w:r>
      <w:r>
        <w:rPr>
          <w:rFonts w:hint="eastAsia" w:ascii="楷体" w:hAnsi="楷体" w:eastAsia="楷体" w:cs="楷体"/>
          <w:b/>
          <w:bCs/>
          <w:lang w:val="en-US" w:eastAsia="zh-CN"/>
        </w:rPr>
        <w:tab/>
      </w:r>
      <w:r>
        <w:rPr>
          <w:rFonts w:hint="eastAsia" w:ascii="楷体" w:hAnsi="楷体" w:eastAsia="楷体" w:cs="楷体"/>
          <w:b/>
          <w:bCs/>
          <w:lang w:val="en-US" w:eastAsia="zh-CN"/>
        </w:rPr>
        <w:t>国有资产占用使用情况。</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jc w:val="both"/>
        <w:textAlignment w:val="auto"/>
        <w:rPr>
          <w:rFonts w:hint="eastAsia" w:ascii="仿宋_GB2312" w:hAnsi="仿宋_GB2312" w:eastAsia="仿宋_GB2312" w:cs="仿宋_GB2312"/>
          <w:b w:val="0"/>
          <w:bCs w:val="0"/>
          <w:color w:val="000000"/>
          <w:spacing w:val="0"/>
          <w:sz w:val="32"/>
          <w:szCs w:val="32"/>
          <w:lang w:val="en-US" w:eastAsia="zh-CN" w:bidi="zh-CN"/>
        </w:rPr>
      </w:pPr>
      <w:r>
        <w:rPr>
          <w:rFonts w:hint="eastAsia" w:ascii="仿宋_GB2312" w:hAnsi="仿宋_GB2312" w:eastAsia="仿宋_GB2312" w:cs="仿宋_GB2312"/>
          <w:b w:val="0"/>
          <w:bCs w:val="0"/>
          <w:color w:val="000000"/>
          <w:spacing w:val="0"/>
          <w:sz w:val="32"/>
          <w:szCs w:val="32"/>
          <w:lang w:val="en-US" w:eastAsia="zh-CN" w:bidi="zh-CN"/>
        </w:rPr>
        <w:t>截至2020年12月31日，石台县团县委有公务用车0辆，单位价值50万元以上的通用设备单位0个，价值100万元以上的专用设备0个。</w:t>
      </w:r>
    </w:p>
    <w:p>
      <w:pPr>
        <w:pStyle w:val="16"/>
        <w:keepNext w:val="0"/>
        <w:keepLines w:val="0"/>
        <w:pageBreakBefore w:val="0"/>
        <w:shd w:val="clear" w:color="auto" w:fill="auto"/>
        <w:kinsoku/>
        <w:wordWrap/>
        <w:overflowPunct/>
        <w:topLinePunct w:val="0"/>
        <w:autoSpaceDE/>
        <w:autoSpaceDN/>
        <w:bidi w:val="0"/>
        <w:adjustRightInd/>
        <w:snapToGrid/>
        <w:spacing w:before="0" w:after="0" w:line="360" w:lineRule="auto"/>
        <w:ind w:firstLine="640" w:firstLineChars="200"/>
        <w:jc w:val="both"/>
        <w:textAlignment w:val="auto"/>
        <w:rPr>
          <w:rFonts w:hint="eastAsia" w:ascii="仿宋_GB2312" w:hAnsi="仿宋_GB2312" w:eastAsia="仿宋_GB2312" w:cs="仿宋_GB2312"/>
          <w:b w:val="0"/>
          <w:bCs w:val="0"/>
          <w:color w:val="000000"/>
          <w:spacing w:val="0"/>
          <w:sz w:val="32"/>
          <w:szCs w:val="32"/>
          <w:lang w:val="en-US" w:eastAsia="zh-CN" w:bidi="zh-CN"/>
        </w:rPr>
      </w:pPr>
      <w:r>
        <w:rPr>
          <w:rFonts w:hint="eastAsia" w:ascii="仿宋_GB2312" w:hAnsi="仿宋_GB2312" w:eastAsia="仿宋_GB2312" w:cs="仿宋_GB2312"/>
          <w:b w:val="0"/>
          <w:bCs w:val="0"/>
          <w:color w:val="000000"/>
          <w:spacing w:val="0"/>
          <w:sz w:val="32"/>
          <w:szCs w:val="32"/>
          <w:lang w:val="en-US" w:eastAsia="zh-CN" w:bidi="zh-CN"/>
        </w:rPr>
        <w:t>2021年部门预算安排公务用车购置0万元，购置公务用车0辆，安排购置单位价值50万元以上的通用设备0个，安排购置单位价值100万元以上专用设备0个。</w:t>
      </w:r>
    </w:p>
    <w:p>
      <w:pPr>
        <w:pStyle w:val="3"/>
        <w:autoSpaceDE w:val="0"/>
        <w:autoSpaceDN w:val="0"/>
        <w:spacing w:before="4" w:line="560" w:lineRule="exact"/>
        <w:ind w:right="975" w:firstLine="640" w:firstLineChars="200"/>
        <w:jc w:val="both"/>
        <w:rPr>
          <w:rFonts w:hint="eastAsia" w:ascii="黑体" w:hAnsi="黑体" w:eastAsia="黑体" w:cs="黑体"/>
        </w:rPr>
      </w:pPr>
      <w:r>
        <w:rPr>
          <w:rFonts w:hint="eastAsia" w:ascii="黑体" w:hAnsi="黑体" w:eastAsia="黑体" w:cs="黑体"/>
        </w:rPr>
        <w:t>第三部分</w:t>
      </w:r>
      <w:r>
        <w:rPr>
          <w:rFonts w:hint="eastAsia" w:ascii="黑体" w:hAnsi="黑体" w:eastAsia="黑体" w:cs="黑体"/>
          <w:lang w:val="en-US"/>
        </w:rPr>
        <w:t xml:space="preserve"> </w:t>
      </w:r>
      <w:r>
        <w:rPr>
          <w:rFonts w:hint="eastAsia" w:ascii="黑体" w:hAnsi="黑体" w:eastAsia="黑体" w:cs="黑体"/>
        </w:rPr>
        <w:t>名词解释</w:t>
      </w:r>
    </w:p>
    <w:p>
      <w:pPr>
        <w:pStyle w:val="3"/>
        <w:autoSpaceDE w:val="0"/>
        <w:autoSpaceDN w:val="0"/>
        <w:spacing w:before="4" w:line="560" w:lineRule="exact"/>
        <w:ind w:right="975" w:firstLine="640" w:firstLineChars="200"/>
        <w:jc w:val="both"/>
        <w:rPr>
          <w:rFonts w:hint="eastAsia"/>
        </w:rPr>
      </w:pPr>
      <w:r>
        <w:rPr>
          <w:rFonts w:hint="eastAsia"/>
        </w:rPr>
        <w:t>一、财政拨款收入：指</w:t>
      </w:r>
      <w:r>
        <w:rPr>
          <w:rFonts w:hint="eastAsia"/>
          <w:lang w:eastAsia="zh-CN"/>
        </w:rPr>
        <w:t>县</w:t>
      </w:r>
      <w:r>
        <w:rPr>
          <w:rFonts w:hint="eastAsia"/>
        </w:rPr>
        <w:t>财政当年拨付的资金，主要包括一般公共预算拨款收入和政府性基金拨款收入。</w:t>
      </w:r>
    </w:p>
    <w:p>
      <w:pPr>
        <w:pStyle w:val="3"/>
        <w:autoSpaceDE w:val="0"/>
        <w:autoSpaceDN w:val="0"/>
        <w:spacing w:before="4" w:line="560" w:lineRule="exact"/>
        <w:ind w:right="975" w:firstLine="640" w:firstLineChars="200"/>
        <w:jc w:val="both"/>
        <w:rPr>
          <w:rFonts w:hint="eastAsia"/>
        </w:rPr>
      </w:pPr>
      <w:r>
        <w:rPr>
          <w:rFonts w:hint="eastAsia"/>
        </w:rPr>
        <w:t>二、基本支出：指为保障机构正常运转、完成日常工作任务而发生的人员支出和公用支出。</w:t>
      </w:r>
    </w:p>
    <w:p>
      <w:pPr>
        <w:pStyle w:val="3"/>
        <w:autoSpaceDE w:val="0"/>
        <w:autoSpaceDN w:val="0"/>
        <w:spacing w:before="4" w:line="560" w:lineRule="exact"/>
        <w:ind w:right="975" w:firstLine="640" w:firstLineChars="200"/>
        <w:jc w:val="both"/>
        <w:rPr>
          <w:rFonts w:hint="eastAsia"/>
        </w:rPr>
      </w:pPr>
      <w:r>
        <w:rPr>
          <w:rFonts w:hint="eastAsia"/>
        </w:rPr>
        <w:t>三、项目支出：指在基本支出之外为完成特定行政任务和事业 发展目标所发生的支出。</w:t>
      </w:r>
    </w:p>
    <w:p>
      <w:pPr>
        <w:pStyle w:val="3"/>
        <w:autoSpaceDE w:val="0"/>
        <w:autoSpaceDN w:val="0"/>
        <w:spacing w:before="4" w:line="560" w:lineRule="exact"/>
        <w:ind w:right="975" w:firstLine="640" w:firstLineChars="200"/>
        <w:jc w:val="both"/>
        <w:rPr>
          <w:rFonts w:hint="eastAsia"/>
        </w:rPr>
      </w:pPr>
      <w:r>
        <w:rPr>
          <w:rFonts w:hint="eastAsia"/>
        </w:rPr>
        <w:t>四、机关运行经费：指各部门的公用经费，包括办公及印刷费、 邮电费、差旅费、会议费、福利费、日常维修费、专用材料及一般设备购置费、办公用房水电费、办公用房取暖费、办公用房物业管理费、公务用车运行维护费以及其他费用。</w:t>
      </w:r>
    </w:p>
    <w:p>
      <w:pPr>
        <w:pStyle w:val="14"/>
        <w:shd w:val="clear" w:color="auto" w:fill="auto"/>
        <w:autoSpaceDE w:val="0"/>
        <w:autoSpaceDN w:val="0"/>
        <w:spacing w:after="0" w:line="538" w:lineRule="exact"/>
        <w:jc w:val="center"/>
        <w:rPr>
          <w:rFonts w:hint="eastAsia" w:ascii="黑体" w:hAnsi="黑体" w:eastAsia="黑体" w:cs="黑体"/>
          <w:b/>
          <w:bCs/>
          <w:sz w:val="32"/>
          <w:szCs w:val="32"/>
        </w:rPr>
      </w:pPr>
      <w:r>
        <w:rPr>
          <w:rFonts w:hint="eastAsia" w:ascii="黑体" w:hAnsi="黑体" w:eastAsia="黑体" w:cs="黑体"/>
          <w:b/>
          <w:bCs/>
          <w:sz w:val="32"/>
          <w:szCs w:val="32"/>
        </w:rPr>
        <w:t>第四部分</w:t>
      </w:r>
      <w:r>
        <w:rPr>
          <w:rFonts w:hint="eastAsia" w:ascii="黑体" w:hAnsi="黑体" w:eastAsia="黑体" w:cs="黑体"/>
          <w:b/>
          <w:bCs/>
          <w:sz w:val="32"/>
          <w:szCs w:val="32"/>
          <w:lang w:val="en-US"/>
        </w:rPr>
        <w:t xml:space="preserve"> </w:t>
      </w:r>
      <w:r>
        <w:rPr>
          <w:rFonts w:hint="eastAsia" w:ascii="黑体" w:hAnsi="黑体" w:eastAsia="黑体" w:cs="黑体"/>
          <w:b/>
          <w:bCs/>
          <w:sz w:val="32"/>
          <w:szCs w:val="32"/>
        </w:rPr>
        <w:t>20</w:t>
      </w:r>
      <w:r>
        <w:rPr>
          <w:rFonts w:hint="eastAsia" w:ascii="黑体" w:hAnsi="黑体" w:eastAsia="黑体" w:cs="黑体"/>
          <w:b/>
          <w:bCs/>
          <w:sz w:val="32"/>
          <w:szCs w:val="32"/>
          <w:lang w:val="en-US" w:eastAsia="zh-CN"/>
        </w:rPr>
        <w:t>21</w:t>
      </w:r>
      <w:r>
        <w:rPr>
          <w:rFonts w:hint="eastAsia" w:ascii="黑体" w:hAnsi="黑体" w:eastAsia="黑体" w:cs="黑体"/>
          <w:b/>
          <w:bCs/>
          <w:sz w:val="32"/>
          <w:szCs w:val="32"/>
        </w:rPr>
        <w:t>年部门预算表（附表）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21</w:t>
      </w:r>
      <w:r>
        <w:rPr>
          <w:rFonts w:hint="eastAsia" w:ascii="仿宋" w:hAnsi="仿宋" w:eastAsia="仿宋" w:cs="仿宋"/>
          <w:sz w:val="32"/>
          <w:szCs w:val="32"/>
        </w:rPr>
        <w:t>年部门财政拨款收支预算总表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21</w:t>
      </w:r>
      <w:r>
        <w:rPr>
          <w:rFonts w:hint="eastAsia" w:ascii="仿宋" w:hAnsi="仿宋" w:eastAsia="仿宋" w:cs="仿宋"/>
          <w:sz w:val="32"/>
          <w:szCs w:val="32"/>
        </w:rPr>
        <w:t>年部门一般公共预算支出预算表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21</w:t>
      </w:r>
      <w:r>
        <w:rPr>
          <w:rFonts w:hint="eastAsia" w:ascii="仿宋" w:hAnsi="仿宋" w:eastAsia="仿宋" w:cs="仿宋"/>
          <w:sz w:val="32"/>
          <w:szCs w:val="32"/>
        </w:rPr>
        <w:t>年部门一般公共预算基本支出预算表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21</w:t>
      </w:r>
      <w:r>
        <w:rPr>
          <w:rFonts w:hint="eastAsia" w:ascii="仿宋" w:hAnsi="仿宋" w:eastAsia="仿宋" w:cs="仿宋"/>
          <w:sz w:val="32"/>
          <w:szCs w:val="32"/>
        </w:rPr>
        <w:t>年部门政府性基金预算支出预算表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21</w:t>
      </w:r>
      <w:r>
        <w:rPr>
          <w:rFonts w:hint="eastAsia" w:ascii="仿宋" w:hAnsi="仿宋" w:eastAsia="仿宋" w:cs="仿宋"/>
          <w:sz w:val="32"/>
          <w:szCs w:val="32"/>
        </w:rPr>
        <w:t>年部门收支预算总表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21</w:t>
      </w:r>
      <w:r>
        <w:rPr>
          <w:rFonts w:hint="eastAsia" w:ascii="仿宋" w:hAnsi="仿宋" w:eastAsia="仿宋" w:cs="仿宋"/>
          <w:sz w:val="32"/>
          <w:szCs w:val="32"/>
        </w:rPr>
        <w:t>年部门收入预算总表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21</w:t>
      </w:r>
      <w:r>
        <w:rPr>
          <w:rFonts w:hint="eastAsia" w:ascii="仿宋" w:hAnsi="仿宋" w:eastAsia="仿宋" w:cs="仿宋"/>
          <w:sz w:val="32"/>
          <w:szCs w:val="32"/>
        </w:rPr>
        <w:t>年部门支出预算总表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21</w:t>
      </w:r>
      <w:r>
        <w:rPr>
          <w:rFonts w:hint="eastAsia" w:ascii="仿宋" w:hAnsi="仿宋" w:eastAsia="仿宋" w:cs="仿宋"/>
          <w:sz w:val="32"/>
          <w:szCs w:val="32"/>
          <w:lang w:val="en-US"/>
        </w:rPr>
        <w:t>年部门</w:t>
      </w:r>
      <w:r>
        <w:rPr>
          <w:rFonts w:hint="eastAsia" w:ascii="仿宋" w:hAnsi="仿宋" w:eastAsia="仿宋" w:cs="仿宋"/>
          <w:sz w:val="32"/>
          <w:szCs w:val="32"/>
        </w:rPr>
        <w:t>国有资本经营预算支出预算表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21</w:t>
      </w:r>
      <w:r>
        <w:rPr>
          <w:rFonts w:hint="eastAsia" w:ascii="仿宋" w:hAnsi="仿宋" w:eastAsia="仿宋" w:cs="仿宋"/>
          <w:sz w:val="32"/>
          <w:szCs w:val="32"/>
          <w:lang w:val="en-US"/>
        </w:rPr>
        <w:t>年部门政府采购预算表</w:t>
      </w:r>
    </w:p>
    <w:p>
      <w:pPr>
        <w:pStyle w:val="16"/>
        <w:numPr>
          <w:ilvl w:val="0"/>
          <w:numId w:val="1"/>
        </w:numPr>
        <w:shd w:val="clear" w:color="auto" w:fill="auto"/>
        <w:tabs>
          <w:tab w:val="left" w:pos="411"/>
        </w:tabs>
        <w:autoSpaceDE w:val="0"/>
        <w:autoSpaceDN w:val="0"/>
        <w:spacing w:before="0" w:after="0" w:line="538" w:lineRule="exact"/>
        <w:ind w:firstLine="0"/>
        <w:rPr>
          <w:rFonts w:hint="eastAsia" w:ascii="仿宋" w:hAnsi="仿宋" w:eastAsia="仿宋" w:cs="仿宋"/>
          <w:sz w:val="32"/>
          <w:szCs w:val="32"/>
        </w:rPr>
      </w:pPr>
      <w:r>
        <w:rPr>
          <w:rFonts w:hint="eastAsia" w:ascii="仿宋" w:hAnsi="仿宋" w:eastAsia="仿宋" w:cs="仿宋"/>
          <w:sz w:val="32"/>
          <w:szCs w:val="32"/>
          <w:lang w:val="en-US"/>
        </w:rPr>
        <w:t>10.20</w:t>
      </w:r>
      <w:r>
        <w:rPr>
          <w:rFonts w:hint="eastAsia" w:ascii="仿宋" w:hAnsi="仿宋" w:eastAsia="仿宋" w:cs="仿宋"/>
          <w:sz w:val="32"/>
          <w:szCs w:val="32"/>
          <w:lang w:val="en-US" w:eastAsia="zh-CN"/>
        </w:rPr>
        <w:t>21</w:t>
      </w:r>
      <w:r>
        <w:rPr>
          <w:rFonts w:hint="eastAsia" w:ascii="仿宋" w:hAnsi="仿宋" w:eastAsia="仿宋" w:cs="仿宋"/>
          <w:sz w:val="32"/>
          <w:szCs w:val="32"/>
          <w:lang w:val="en-US"/>
        </w:rPr>
        <w:t>年政府购买服务预算表</w:t>
      </w:r>
    </w:p>
    <w:sectPr>
      <w:headerReference r:id="rId5" w:type="default"/>
      <w:footerReference r:id="rId6" w:type="default"/>
      <w:footerReference r:id="rId7" w:type="even"/>
      <w:pgSz w:w="11900" w:h="16840"/>
      <w:pgMar w:top="1586" w:right="1237" w:bottom="1616" w:left="1198" w:header="0" w:footer="3"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PMingLiU">
    <w:panose1 w:val="02020500000000000000"/>
    <w:charset w:val="88"/>
    <w:family w:val="roma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mc:AlternateContent>
        <mc:Choice Requires="wps">
          <w:drawing>
            <wp:anchor distT="0" distB="0" distL="114300" distR="114300" simplePos="0" relativeHeight="251659264" behindDoc="1" locked="0" layoutInCell="1" allowOverlap="1">
              <wp:simplePos x="0" y="0"/>
              <wp:positionH relativeFrom="page">
                <wp:posOffset>3667125</wp:posOffset>
              </wp:positionH>
              <wp:positionV relativeFrom="page">
                <wp:posOffset>9913620</wp:posOffset>
              </wp:positionV>
              <wp:extent cx="94615" cy="79375"/>
              <wp:effectExtent l="0" t="0" r="0" b="0"/>
              <wp:wrapNone/>
              <wp:docPr id="1" name="文本框 1"/>
              <wp:cNvGraphicFramePr/>
              <a:graphic xmlns:a="http://schemas.openxmlformats.org/drawingml/2006/main">
                <a:graphicData uri="http://schemas.microsoft.com/office/word/2010/wordprocessingShape">
                  <wps:wsp>
                    <wps:cNvSpPr txBox="1"/>
                    <wps:spPr>
                      <a:xfrm>
                        <a:off x="0" y="0"/>
                        <a:ext cx="94615" cy="79375"/>
                      </a:xfrm>
                      <a:prstGeom prst="rect">
                        <a:avLst/>
                      </a:prstGeom>
                      <a:noFill/>
                      <a:ln>
                        <a:noFill/>
                      </a:ln>
                    </wps:spPr>
                    <wps:txbx>
                      <w:txbxContent>
                        <w:p>
                          <w:pPr>
                            <w:pStyle w:val="24"/>
                            <w:shd w:val="clear" w:color="auto" w:fill="auto"/>
                            <w:spacing w:line="240" w:lineRule="auto"/>
                          </w:pPr>
                          <w:r>
                            <w:fldChar w:fldCharType="begin"/>
                          </w:r>
                          <w:r>
                            <w:instrText xml:space="preserve"> PAGE \* MERGEFORMAT </w:instrText>
                          </w:r>
                          <w:r>
                            <w:fldChar w:fldCharType="separate"/>
                          </w:r>
                          <w:r>
                            <w:rPr>
                              <w:rStyle w:val="26"/>
                              <w:rFonts w:eastAsia="PMingLiU"/>
                            </w:rPr>
                            <w:t>7</w:t>
                          </w:r>
                          <w:r>
                            <w:rPr>
                              <w:rStyle w:val="26"/>
                              <w:rFonts w:eastAsia="PMingLiU"/>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left:288.75pt;margin-top:780.6pt;height:6.25pt;width:7.45pt;mso-position-horizontal-relative:page;mso-position-vertical-relative:page;mso-wrap-style:none;z-index:-251657216;mso-width-relative:page;mso-height-relative:page;" filled="f" stroked="f" coordsize="21600,21600" o:gfxdata="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RsA5q2AAAAA0BAAAPAAAAAAAAAAEAIAAAACIAAABk&#10;cnMvZG93bnJldi54bWxQSwECFAAUAAAACACHTuJANdvCBM0BAACVAwAADgAAAAAAAAABACAAAAAn&#10;AQAAZHJzL2Uyb0RvYy54bWxQSwUGAAAAAAYABgBZAQAAZgUAAAAA&#10;">
              <v:fill on="f" focussize="0,0"/>
              <v:stroke on="f"/>
              <v:imagedata o:title=""/>
              <o:lock v:ext="edit" aspectratio="f"/>
              <v:textbox inset="0mm,0mm,0mm,0mm" style="mso-fit-shape-to-text:t;">
                <w:txbxContent>
                  <w:p>
                    <w:pPr>
                      <w:pStyle w:val="24"/>
                      <w:shd w:val="clear" w:color="auto" w:fill="auto"/>
                      <w:spacing w:line="240" w:lineRule="auto"/>
                    </w:pPr>
                    <w:r>
                      <w:fldChar w:fldCharType="begin"/>
                    </w:r>
                    <w:r>
                      <w:instrText xml:space="preserve"> PAGE \* MERGEFORMAT </w:instrText>
                    </w:r>
                    <w:r>
                      <w:fldChar w:fldCharType="separate"/>
                    </w:r>
                    <w:r>
                      <w:rPr>
                        <w:rStyle w:val="26"/>
                        <w:rFonts w:eastAsia="PMingLiU"/>
                      </w:rPr>
                      <w:t>7</w:t>
                    </w:r>
                    <w:r>
                      <w:rPr>
                        <w:rStyle w:val="26"/>
                        <w:rFonts w:eastAsia="PMingLiU"/>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mc:AlternateContent>
        <mc:Choice Requires="wps">
          <w:drawing>
            <wp:anchor distT="0" distB="0" distL="114300" distR="114300" simplePos="0" relativeHeight="251660288" behindDoc="1" locked="0" layoutInCell="1" allowOverlap="1">
              <wp:simplePos x="0" y="0"/>
              <wp:positionH relativeFrom="page">
                <wp:posOffset>3667125</wp:posOffset>
              </wp:positionH>
              <wp:positionV relativeFrom="page">
                <wp:posOffset>9913620</wp:posOffset>
              </wp:positionV>
              <wp:extent cx="94615" cy="79375"/>
              <wp:effectExtent l="0" t="0" r="0" b="0"/>
              <wp:wrapNone/>
              <wp:docPr id="2" name="文本框 2"/>
              <wp:cNvGraphicFramePr/>
              <a:graphic xmlns:a="http://schemas.openxmlformats.org/drawingml/2006/main">
                <a:graphicData uri="http://schemas.microsoft.com/office/word/2010/wordprocessingShape">
                  <wps:wsp>
                    <wps:cNvSpPr txBox="1"/>
                    <wps:spPr>
                      <a:xfrm>
                        <a:off x="0" y="0"/>
                        <a:ext cx="94615" cy="79375"/>
                      </a:xfrm>
                      <a:prstGeom prst="rect">
                        <a:avLst/>
                      </a:prstGeom>
                      <a:noFill/>
                      <a:ln>
                        <a:noFill/>
                      </a:ln>
                    </wps:spPr>
                    <wps:txbx>
                      <w:txbxContent>
                        <w:p>
                          <w:pPr>
                            <w:pStyle w:val="24"/>
                            <w:shd w:val="clear" w:color="auto" w:fill="auto"/>
                            <w:spacing w:line="240" w:lineRule="auto"/>
                          </w:pPr>
                          <w:r>
                            <w:fldChar w:fldCharType="begin"/>
                          </w:r>
                          <w:r>
                            <w:instrText xml:space="preserve"> PAGE \* MERGEFORMAT </w:instrText>
                          </w:r>
                          <w:r>
                            <w:fldChar w:fldCharType="separate"/>
                          </w:r>
                          <w:r>
                            <w:rPr>
                              <w:rStyle w:val="26"/>
                              <w:rFonts w:eastAsia="PMingLiU"/>
                            </w:rPr>
                            <w:t>8</w:t>
                          </w:r>
                          <w:r>
                            <w:rPr>
                              <w:rStyle w:val="26"/>
                              <w:rFonts w:eastAsia="PMingLiU"/>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left:288.75pt;margin-top:780.6pt;height:6.25pt;width:7.45pt;mso-position-horizontal-relative:page;mso-position-vertical-relative:page;mso-wrap-style:none;z-index:-251656192;mso-width-relative:page;mso-height-relative:page;" filled="f" stroked="f" coordsize="21600,21600" o:gfxdata="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RsA5q2AAAAA0BAAAPAAAAAAAAAAEAIAAAACIAAABk&#10;cnMvZG93bnJldi54bWxQSwECFAAUAAAACACHTuJAb/BnUc0BAACVAwAADgAAAAAAAAABACAAAAAn&#10;AQAAZHJzL2Uyb0RvYy54bWxQSwUGAAAAAAYABgBZAQAAZgUAAAAA&#10;">
              <v:fill on="f" focussize="0,0"/>
              <v:stroke on="f"/>
              <v:imagedata o:title=""/>
              <o:lock v:ext="edit" aspectratio="f"/>
              <v:textbox inset="0mm,0mm,0mm,0mm" style="mso-fit-shape-to-text:t;">
                <w:txbxContent>
                  <w:p>
                    <w:pPr>
                      <w:pStyle w:val="24"/>
                      <w:shd w:val="clear" w:color="auto" w:fill="auto"/>
                      <w:spacing w:line="240" w:lineRule="auto"/>
                    </w:pPr>
                    <w:r>
                      <w:fldChar w:fldCharType="begin"/>
                    </w:r>
                    <w:r>
                      <w:instrText xml:space="preserve"> PAGE \* MERGEFORMAT </w:instrText>
                    </w:r>
                    <w:r>
                      <w:fldChar w:fldCharType="separate"/>
                    </w:r>
                    <w:r>
                      <w:rPr>
                        <w:rStyle w:val="26"/>
                        <w:rFonts w:eastAsia="PMingLiU"/>
                      </w:rPr>
                      <w:t>8</w:t>
                    </w:r>
                    <w:r>
                      <w:rPr>
                        <w:rStyle w:val="26"/>
                        <w:rFonts w:eastAsia="PMingLiU"/>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1E84A9"/>
    <w:multiLevelType w:val="singleLevel"/>
    <w:tmpl w:val="AB1E84A9"/>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displayBackgroundShape w:val="1"/>
  <w:bordersDoNotSurroundHeader w:val="1"/>
  <w:bordersDoNotSurroundFooter w:val="1"/>
  <w:documentProtection w:edit="forms" w:enforcement="0"/>
  <w:defaultTabStop w:val="420"/>
  <w:evenAndOddHeaders w:val="1"/>
  <w:drawingGridHorizontalSpacing w:val="181"/>
  <w:drawingGridVerticalSpacing w:val="181"/>
  <w:characterSpacingControl w:val="compressPunctuation"/>
  <w:hdrShapeDefaults>
    <o:shapelayout v:ext="edit">
      <o:idmap v:ext="edit" data="3"/>
    </o:shapelayout>
  </w:hdrShapeDefaults>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yMmIxY2EwZmE4MGNlMDczOWFhMmM1NTU0NWQ5NjMifQ=="/>
  </w:docVars>
  <w:rsids>
    <w:rsidRoot w:val="0033577B"/>
    <w:rsid w:val="00265585"/>
    <w:rsid w:val="002F2597"/>
    <w:rsid w:val="0033577B"/>
    <w:rsid w:val="004F768F"/>
    <w:rsid w:val="00641A63"/>
    <w:rsid w:val="0067705F"/>
    <w:rsid w:val="006B33A9"/>
    <w:rsid w:val="00C25BEF"/>
    <w:rsid w:val="00D6440E"/>
    <w:rsid w:val="00DA621A"/>
    <w:rsid w:val="00DC3F39"/>
    <w:rsid w:val="00FB3496"/>
    <w:rsid w:val="02431E11"/>
    <w:rsid w:val="033755DF"/>
    <w:rsid w:val="043E2F4A"/>
    <w:rsid w:val="074910A2"/>
    <w:rsid w:val="0785427E"/>
    <w:rsid w:val="07DB6F56"/>
    <w:rsid w:val="07EE5AD1"/>
    <w:rsid w:val="0B094C47"/>
    <w:rsid w:val="0B78660B"/>
    <w:rsid w:val="0BFD6B61"/>
    <w:rsid w:val="0CBB736C"/>
    <w:rsid w:val="0CD8726A"/>
    <w:rsid w:val="0D1A45DD"/>
    <w:rsid w:val="0D8574D2"/>
    <w:rsid w:val="13E32373"/>
    <w:rsid w:val="14F04E9F"/>
    <w:rsid w:val="169B1106"/>
    <w:rsid w:val="16A027A9"/>
    <w:rsid w:val="175C51BC"/>
    <w:rsid w:val="17757C3C"/>
    <w:rsid w:val="17BF3500"/>
    <w:rsid w:val="17E610FC"/>
    <w:rsid w:val="1A0C67A5"/>
    <w:rsid w:val="1AA370D8"/>
    <w:rsid w:val="1AE87493"/>
    <w:rsid w:val="1C8D24DC"/>
    <w:rsid w:val="1D4A2712"/>
    <w:rsid w:val="1D990F18"/>
    <w:rsid w:val="1DDE2AFD"/>
    <w:rsid w:val="1F2D795C"/>
    <w:rsid w:val="1FD41B13"/>
    <w:rsid w:val="20523600"/>
    <w:rsid w:val="21071CD9"/>
    <w:rsid w:val="21127C69"/>
    <w:rsid w:val="231F50B3"/>
    <w:rsid w:val="24187DF0"/>
    <w:rsid w:val="249B0E51"/>
    <w:rsid w:val="24BA7070"/>
    <w:rsid w:val="24E877DF"/>
    <w:rsid w:val="250E3D3B"/>
    <w:rsid w:val="265042E5"/>
    <w:rsid w:val="276B45D1"/>
    <w:rsid w:val="28265DC8"/>
    <w:rsid w:val="283233E6"/>
    <w:rsid w:val="28AD4555"/>
    <w:rsid w:val="299D31EA"/>
    <w:rsid w:val="2A123963"/>
    <w:rsid w:val="2C7C38A6"/>
    <w:rsid w:val="2EDA3662"/>
    <w:rsid w:val="2F142897"/>
    <w:rsid w:val="2F3D0F23"/>
    <w:rsid w:val="2F9037FD"/>
    <w:rsid w:val="2FC8303B"/>
    <w:rsid w:val="2FD45DE0"/>
    <w:rsid w:val="306B4290"/>
    <w:rsid w:val="332C6584"/>
    <w:rsid w:val="34DF4457"/>
    <w:rsid w:val="353A4BB7"/>
    <w:rsid w:val="35442136"/>
    <w:rsid w:val="36344243"/>
    <w:rsid w:val="36F23E90"/>
    <w:rsid w:val="38201383"/>
    <w:rsid w:val="383E473E"/>
    <w:rsid w:val="39BB1C96"/>
    <w:rsid w:val="3A1A6AE5"/>
    <w:rsid w:val="3B767ACA"/>
    <w:rsid w:val="3B8C57C0"/>
    <w:rsid w:val="3BF3111B"/>
    <w:rsid w:val="3C597A01"/>
    <w:rsid w:val="3CDC5171"/>
    <w:rsid w:val="3D7A4687"/>
    <w:rsid w:val="3D81035B"/>
    <w:rsid w:val="3EA87366"/>
    <w:rsid w:val="3EC2464E"/>
    <w:rsid w:val="3FA27B9B"/>
    <w:rsid w:val="405B5988"/>
    <w:rsid w:val="412C3105"/>
    <w:rsid w:val="427426B6"/>
    <w:rsid w:val="429E1DE0"/>
    <w:rsid w:val="42C10D12"/>
    <w:rsid w:val="430000D7"/>
    <w:rsid w:val="447D1DDF"/>
    <w:rsid w:val="451C5E07"/>
    <w:rsid w:val="45CB7934"/>
    <w:rsid w:val="460354CB"/>
    <w:rsid w:val="462635FC"/>
    <w:rsid w:val="46333631"/>
    <w:rsid w:val="470D7535"/>
    <w:rsid w:val="48105303"/>
    <w:rsid w:val="48820020"/>
    <w:rsid w:val="4A0C57D9"/>
    <w:rsid w:val="4A972C95"/>
    <w:rsid w:val="4AA81C1E"/>
    <w:rsid w:val="4AC75B2F"/>
    <w:rsid w:val="4B441C14"/>
    <w:rsid w:val="4B894EB0"/>
    <w:rsid w:val="4BCD54E4"/>
    <w:rsid w:val="4C5D3817"/>
    <w:rsid w:val="4DDF5C24"/>
    <w:rsid w:val="4E24045A"/>
    <w:rsid w:val="4E935B51"/>
    <w:rsid w:val="4EF00364"/>
    <w:rsid w:val="50E907FF"/>
    <w:rsid w:val="520928AC"/>
    <w:rsid w:val="560035C9"/>
    <w:rsid w:val="57133A10"/>
    <w:rsid w:val="5AEC5011"/>
    <w:rsid w:val="5B0133B6"/>
    <w:rsid w:val="5B7679BF"/>
    <w:rsid w:val="5BCE528C"/>
    <w:rsid w:val="5EEA0B82"/>
    <w:rsid w:val="5FBE5418"/>
    <w:rsid w:val="60DC106D"/>
    <w:rsid w:val="62786485"/>
    <w:rsid w:val="62A45082"/>
    <w:rsid w:val="6368771C"/>
    <w:rsid w:val="65B8290A"/>
    <w:rsid w:val="661946AC"/>
    <w:rsid w:val="673D6FD7"/>
    <w:rsid w:val="67987E26"/>
    <w:rsid w:val="68B61382"/>
    <w:rsid w:val="6984315C"/>
    <w:rsid w:val="69FC7269"/>
    <w:rsid w:val="6A6261E0"/>
    <w:rsid w:val="6C890CDF"/>
    <w:rsid w:val="6C8E1095"/>
    <w:rsid w:val="6D470942"/>
    <w:rsid w:val="6D6607FC"/>
    <w:rsid w:val="6EBD5E83"/>
    <w:rsid w:val="6EC55030"/>
    <w:rsid w:val="6F366EE8"/>
    <w:rsid w:val="6FA1255B"/>
    <w:rsid w:val="6FC325D7"/>
    <w:rsid w:val="7110184C"/>
    <w:rsid w:val="712B5E1E"/>
    <w:rsid w:val="71976AB7"/>
    <w:rsid w:val="72907369"/>
    <w:rsid w:val="74545936"/>
    <w:rsid w:val="75AB741D"/>
    <w:rsid w:val="76DF570D"/>
    <w:rsid w:val="77524B61"/>
    <w:rsid w:val="79C53304"/>
    <w:rsid w:val="7AB86BD0"/>
    <w:rsid w:val="7B3525DB"/>
    <w:rsid w:val="7B907ACE"/>
    <w:rsid w:val="7C105077"/>
    <w:rsid w:val="7D8D0811"/>
    <w:rsid w:val="7F583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pPr>
    <w:rPr>
      <w:rFonts w:ascii="Times New Roman" w:hAnsi="Times New Roman" w:eastAsia="Times New Roman" w:cs="Times New Roman"/>
      <w:color w:val="000000"/>
      <w:sz w:val="24"/>
      <w:szCs w:val="24"/>
      <w:lang w:val="zh-CN" w:eastAsia="zh-CN" w:bidi="zh-CN"/>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autoSpaceDE w:val="0"/>
      <w:autoSpaceDN w:val="0"/>
      <w:spacing w:line="300" w:lineRule="auto"/>
      <w:ind w:firstLine="624"/>
    </w:pPr>
    <w:rPr>
      <w:rFonts w:eastAsia="仿宋_GB2312"/>
      <w:spacing w:val="4"/>
      <w:sz w:val="32"/>
      <w:szCs w:val="20"/>
    </w:rPr>
  </w:style>
  <w:style w:type="paragraph" w:styleId="3">
    <w:name w:val="Body Text"/>
    <w:basedOn w:val="1"/>
    <w:qFormat/>
    <w:uiPriority w:val="1"/>
    <w:rPr>
      <w:rFonts w:ascii="仿宋_GB2312" w:hAnsi="仿宋_GB2312" w:eastAsia="仿宋_GB2312" w:cs="仿宋_GB2312"/>
      <w:sz w:val="32"/>
      <w:szCs w:val="32"/>
      <w:lang w:val="zh-CN" w:eastAsia="zh-CN" w:bidi="zh-CN"/>
    </w:rPr>
  </w:style>
  <w:style w:type="paragraph" w:styleId="4">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character" w:customStyle="1" w:styleId="7">
    <w:name w:val="Body text|3_"/>
    <w:basedOn w:val="6"/>
    <w:link w:val="8"/>
    <w:qFormat/>
    <w:uiPriority w:val="0"/>
    <w:rPr>
      <w:rFonts w:ascii="PMingLiU" w:hAnsi="PMingLiU" w:eastAsia="PMingLiU" w:cs="PMingLiU"/>
      <w:sz w:val="52"/>
      <w:szCs w:val="52"/>
      <w:u w:val="none"/>
    </w:rPr>
  </w:style>
  <w:style w:type="paragraph" w:customStyle="1" w:styleId="8">
    <w:name w:val="Body text|3"/>
    <w:basedOn w:val="1"/>
    <w:link w:val="7"/>
    <w:qFormat/>
    <w:uiPriority w:val="0"/>
    <w:pPr>
      <w:shd w:val="clear" w:color="auto" w:fill="FFFFFF"/>
      <w:spacing w:after="5400" w:line="1133" w:lineRule="exact"/>
      <w:jc w:val="center"/>
    </w:pPr>
    <w:rPr>
      <w:rFonts w:ascii="PMingLiU" w:hAnsi="PMingLiU" w:eastAsia="PMingLiU" w:cs="PMingLiU"/>
      <w:sz w:val="52"/>
      <w:szCs w:val="52"/>
    </w:rPr>
  </w:style>
  <w:style w:type="character" w:customStyle="1" w:styleId="9">
    <w:name w:val="Body text|3 + Times New Roman"/>
    <w:basedOn w:val="7"/>
    <w:semiHidden/>
    <w:unhideWhenUsed/>
    <w:qFormat/>
    <w:uiPriority w:val="0"/>
    <w:rPr>
      <w:rFonts w:ascii="Times New Roman" w:hAnsi="Times New Roman" w:eastAsia="Times New Roman" w:cs="Times New Roman"/>
      <w:b/>
      <w:bCs/>
      <w:color w:val="000000"/>
      <w:spacing w:val="0"/>
      <w:w w:val="100"/>
      <w:position w:val="0"/>
      <w:sz w:val="54"/>
      <w:szCs w:val="54"/>
      <w:u w:val="none"/>
      <w:lang w:val="zh-CN" w:eastAsia="zh-CN" w:bidi="zh-CN"/>
    </w:rPr>
  </w:style>
  <w:style w:type="character" w:customStyle="1" w:styleId="10">
    <w:name w:val="Body text|4_"/>
    <w:basedOn w:val="6"/>
    <w:link w:val="11"/>
    <w:qFormat/>
    <w:uiPriority w:val="0"/>
    <w:rPr>
      <w:rFonts w:ascii="PMingLiU" w:hAnsi="PMingLiU" w:eastAsia="PMingLiU" w:cs="PMingLiU"/>
      <w:sz w:val="36"/>
      <w:szCs w:val="36"/>
      <w:u w:val="none"/>
    </w:rPr>
  </w:style>
  <w:style w:type="paragraph" w:customStyle="1" w:styleId="11">
    <w:name w:val="Body text|4"/>
    <w:basedOn w:val="1"/>
    <w:link w:val="10"/>
    <w:qFormat/>
    <w:uiPriority w:val="0"/>
    <w:pPr>
      <w:shd w:val="clear" w:color="auto" w:fill="FFFFFF"/>
      <w:spacing w:before="5400" w:line="360" w:lineRule="exact"/>
    </w:pPr>
    <w:rPr>
      <w:rFonts w:ascii="PMingLiU" w:hAnsi="PMingLiU" w:eastAsia="PMingLiU" w:cs="PMingLiU"/>
      <w:sz w:val="36"/>
      <w:szCs w:val="36"/>
    </w:rPr>
  </w:style>
  <w:style w:type="character" w:customStyle="1" w:styleId="12">
    <w:name w:val="Body text|4 + Spacing 4 pt"/>
    <w:basedOn w:val="10"/>
    <w:semiHidden/>
    <w:unhideWhenUsed/>
    <w:qFormat/>
    <w:uiPriority w:val="0"/>
    <w:rPr>
      <w:rFonts w:ascii="PMingLiU" w:hAnsi="PMingLiU" w:eastAsia="PMingLiU" w:cs="PMingLiU"/>
      <w:color w:val="000000"/>
      <w:spacing w:val="80"/>
      <w:w w:val="100"/>
      <w:position w:val="0"/>
      <w:sz w:val="36"/>
      <w:szCs w:val="36"/>
      <w:u w:val="none"/>
      <w:lang w:val="zh-CN" w:eastAsia="zh-CN" w:bidi="zh-CN"/>
    </w:rPr>
  </w:style>
  <w:style w:type="character" w:customStyle="1" w:styleId="13">
    <w:name w:val="Body text|5_"/>
    <w:basedOn w:val="6"/>
    <w:link w:val="14"/>
    <w:qFormat/>
    <w:uiPriority w:val="0"/>
    <w:rPr>
      <w:rFonts w:ascii="PMingLiU" w:hAnsi="PMingLiU" w:eastAsia="PMingLiU" w:cs="PMingLiU"/>
      <w:b/>
      <w:bCs/>
      <w:spacing w:val="30"/>
      <w:sz w:val="30"/>
      <w:szCs w:val="30"/>
      <w:u w:val="none"/>
    </w:rPr>
  </w:style>
  <w:style w:type="paragraph" w:customStyle="1" w:styleId="14">
    <w:name w:val="Body text|5"/>
    <w:basedOn w:val="1"/>
    <w:link w:val="13"/>
    <w:qFormat/>
    <w:uiPriority w:val="0"/>
    <w:pPr>
      <w:shd w:val="clear" w:color="auto" w:fill="FFFFFF"/>
      <w:spacing w:after="220" w:line="300" w:lineRule="exact"/>
    </w:pPr>
    <w:rPr>
      <w:rFonts w:ascii="PMingLiU" w:hAnsi="PMingLiU" w:eastAsia="PMingLiU" w:cs="PMingLiU"/>
      <w:b/>
      <w:bCs/>
      <w:spacing w:val="30"/>
      <w:sz w:val="30"/>
      <w:szCs w:val="30"/>
    </w:rPr>
  </w:style>
  <w:style w:type="character" w:customStyle="1" w:styleId="15">
    <w:name w:val="Body text|2_"/>
    <w:basedOn w:val="6"/>
    <w:link w:val="16"/>
    <w:qFormat/>
    <w:uiPriority w:val="0"/>
    <w:rPr>
      <w:rFonts w:ascii="PMingLiU" w:hAnsi="PMingLiU" w:eastAsia="PMingLiU" w:cs="PMingLiU"/>
      <w:spacing w:val="30"/>
      <w:sz w:val="30"/>
      <w:szCs w:val="30"/>
      <w:u w:val="none"/>
    </w:rPr>
  </w:style>
  <w:style w:type="paragraph" w:customStyle="1" w:styleId="16">
    <w:name w:val="Body text|2"/>
    <w:basedOn w:val="1"/>
    <w:link w:val="15"/>
    <w:qFormat/>
    <w:uiPriority w:val="0"/>
    <w:pPr>
      <w:shd w:val="clear" w:color="auto" w:fill="FFFFFF"/>
      <w:spacing w:before="220" w:after="220" w:line="300" w:lineRule="exact"/>
    </w:pPr>
    <w:rPr>
      <w:rFonts w:ascii="PMingLiU" w:hAnsi="PMingLiU" w:eastAsia="PMingLiU" w:cs="PMingLiU"/>
      <w:spacing w:val="30"/>
      <w:sz w:val="30"/>
      <w:szCs w:val="30"/>
    </w:rPr>
  </w:style>
  <w:style w:type="character" w:customStyle="1" w:styleId="17">
    <w:name w:val="Body text|2 + Times New Roman"/>
    <w:basedOn w:val="15"/>
    <w:semiHidden/>
    <w:unhideWhenUsed/>
    <w:qFormat/>
    <w:uiPriority w:val="0"/>
    <w:rPr>
      <w:rFonts w:ascii="Times New Roman" w:hAnsi="Times New Roman" w:eastAsia="Times New Roman" w:cs="Times New Roman"/>
      <w:color w:val="000000"/>
      <w:spacing w:val="0"/>
      <w:w w:val="100"/>
      <w:position w:val="0"/>
      <w:sz w:val="34"/>
      <w:szCs w:val="34"/>
      <w:u w:val="none"/>
      <w:lang w:val="en-US" w:eastAsia="en-US" w:bidi="en-US"/>
    </w:rPr>
  </w:style>
  <w:style w:type="character" w:customStyle="1" w:styleId="18">
    <w:name w:val="Body text|2 + Bold"/>
    <w:basedOn w:val="15"/>
    <w:semiHidden/>
    <w:unhideWhenUsed/>
    <w:qFormat/>
    <w:uiPriority w:val="0"/>
    <w:rPr>
      <w:rFonts w:ascii="PMingLiU" w:hAnsi="PMingLiU" w:eastAsia="PMingLiU" w:cs="PMingLiU"/>
      <w:b/>
      <w:bCs/>
      <w:color w:val="000000"/>
      <w:spacing w:val="30"/>
      <w:w w:val="100"/>
      <w:position w:val="0"/>
      <w:sz w:val="30"/>
      <w:szCs w:val="30"/>
      <w:u w:val="none"/>
      <w:lang w:val="zh-CN" w:eastAsia="zh-CN" w:bidi="zh-CN"/>
    </w:rPr>
  </w:style>
  <w:style w:type="character" w:customStyle="1" w:styleId="19">
    <w:name w:val="Body text|6_"/>
    <w:basedOn w:val="6"/>
    <w:link w:val="20"/>
    <w:qFormat/>
    <w:uiPriority w:val="0"/>
    <w:rPr>
      <w:rFonts w:ascii="PMingLiU" w:hAnsi="PMingLiU" w:eastAsia="PMingLiU" w:cs="PMingLiU"/>
      <w:spacing w:val="30"/>
      <w:sz w:val="32"/>
      <w:szCs w:val="32"/>
      <w:u w:val="none"/>
    </w:rPr>
  </w:style>
  <w:style w:type="paragraph" w:customStyle="1" w:styleId="20">
    <w:name w:val="Body text|6"/>
    <w:basedOn w:val="1"/>
    <w:link w:val="19"/>
    <w:qFormat/>
    <w:uiPriority w:val="0"/>
    <w:pPr>
      <w:shd w:val="clear" w:color="auto" w:fill="FFFFFF"/>
      <w:spacing w:after="320" w:line="320" w:lineRule="exact"/>
      <w:jc w:val="center"/>
    </w:pPr>
    <w:rPr>
      <w:rFonts w:ascii="PMingLiU" w:hAnsi="PMingLiU" w:eastAsia="PMingLiU" w:cs="PMingLiU"/>
      <w:spacing w:val="30"/>
      <w:sz w:val="32"/>
      <w:szCs w:val="32"/>
    </w:rPr>
  </w:style>
  <w:style w:type="character" w:customStyle="1" w:styleId="21">
    <w:name w:val="Body text|2 + 12 pt"/>
    <w:basedOn w:val="15"/>
    <w:semiHidden/>
    <w:unhideWhenUsed/>
    <w:qFormat/>
    <w:uiPriority w:val="0"/>
    <w:rPr>
      <w:rFonts w:ascii="PMingLiU" w:hAnsi="PMingLiU" w:eastAsia="PMingLiU" w:cs="PMingLiU"/>
      <w:color w:val="000000"/>
      <w:spacing w:val="20"/>
      <w:w w:val="100"/>
      <w:position w:val="0"/>
      <w:sz w:val="24"/>
      <w:szCs w:val="24"/>
      <w:u w:val="none"/>
      <w:lang w:val="zh-CN" w:eastAsia="zh-CN" w:bidi="zh-CN"/>
    </w:rPr>
  </w:style>
  <w:style w:type="character" w:customStyle="1" w:styleId="22">
    <w:name w:val="Body text|6 + Times New Roman"/>
    <w:basedOn w:val="19"/>
    <w:semiHidden/>
    <w:unhideWhenUsed/>
    <w:qFormat/>
    <w:uiPriority w:val="0"/>
    <w:rPr>
      <w:rFonts w:ascii="Times New Roman" w:hAnsi="Times New Roman" w:eastAsia="Times New Roman" w:cs="Times New Roman"/>
      <w:color w:val="000000"/>
      <w:spacing w:val="0"/>
      <w:w w:val="100"/>
      <w:position w:val="0"/>
      <w:sz w:val="34"/>
      <w:szCs w:val="34"/>
      <w:u w:val="none"/>
      <w:lang w:val="zh-CN" w:eastAsia="zh-CN" w:bidi="zh-CN"/>
    </w:rPr>
  </w:style>
  <w:style w:type="character" w:customStyle="1" w:styleId="23">
    <w:name w:val="Header or footer|1_"/>
    <w:basedOn w:val="6"/>
    <w:link w:val="24"/>
    <w:qFormat/>
    <w:uiPriority w:val="0"/>
    <w:rPr>
      <w:rFonts w:ascii="PMingLiU" w:hAnsi="PMingLiU" w:eastAsia="PMingLiU" w:cs="PMingLiU"/>
      <w:spacing w:val="20"/>
      <w:sz w:val="19"/>
      <w:szCs w:val="19"/>
      <w:u w:val="none"/>
    </w:rPr>
  </w:style>
  <w:style w:type="paragraph" w:customStyle="1" w:styleId="24">
    <w:name w:val="Header or footer|11"/>
    <w:basedOn w:val="1"/>
    <w:link w:val="23"/>
    <w:qFormat/>
    <w:uiPriority w:val="0"/>
    <w:pPr>
      <w:shd w:val="clear" w:color="auto" w:fill="FFFFFF"/>
      <w:spacing w:line="190" w:lineRule="exact"/>
    </w:pPr>
    <w:rPr>
      <w:rFonts w:ascii="PMingLiU" w:hAnsi="PMingLiU" w:eastAsia="PMingLiU" w:cs="PMingLiU"/>
      <w:spacing w:val="20"/>
      <w:sz w:val="19"/>
      <w:szCs w:val="19"/>
    </w:rPr>
  </w:style>
  <w:style w:type="character" w:customStyle="1" w:styleId="25">
    <w:name w:val="Header or footer|1"/>
    <w:basedOn w:val="23"/>
    <w:semiHidden/>
    <w:unhideWhenUsed/>
    <w:qFormat/>
    <w:uiPriority w:val="0"/>
    <w:rPr>
      <w:rFonts w:ascii="PMingLiU" w:hAnsi="PMingLiU" w:eastAsia="PMingLiU" w:cs="PMingLiU"/>
      <w:color w:val="000000"/>
      <w:spacing w:val="20"/>
      <w:w w:val="100"/>
      <w:position w:val="0"/>
      <w:sz w:val="19"/>
      <w:szCs w:val="19"/>
      <w:u w:val="none"/>
      <w:lang w:val="zh-CN" w:eastAsia="zh-CN" w:bidi="zh-CN"/>
    </w:rPr>
  </w:style>
  <w:style w:type="character" w:customStyle="1" w:styleId="26">
    <w:name w:val="Header or footer|1 + Times New Roman"/>
    <w:basedOn w:val="23"/>
    <w:semiHidden/>
    <w:unhideWhenUsed/>
    <w:qFormat/>
    <w:uiPriority w:val="0"/>
    <w:rPr>
      <w:rFonts w:ascii="Times New Roman" w:hAnsi="Times New Roman" w:eastAsia="Times New Roman" w:cs="Times New Roman"/>
      <w:color w:val="000000"/>
      <w:spacing w:val="0"/>
      <w:w w:val="100"/>
      <w:position w:val="0"/>
      <w:sz w:val="18"/>
      <w:szCs w:val="18"/>
      <w:u w:val="none"/>
      <w:lang w:val="zh-CN" w:eastAsia="zh-CN" w:bidi="zh-CN"/>
    </w:rPr>
  </w:style>
  <w:style w:type="character" w:customStyle="1" w:styleId="27">
    <w:name w:val="Heading #1|1_"/>
    <w:basedOn w:val="6"/>
    <w:link w:val="28"/>
    <w:qFormat/>
    <w:uiPriority w:val="0"/>
    <w:rPr>
      <w:rFonts w:ascii="PMingLiU" w:hAnsi="PMingLiU" w:eastAsia="PMingLiU" w:cs="PMingLiU"/>
      <w:sz w:val="36"/>
      <w:szCs w:val="36"/>
      <w:u w:val="none"/>
    </w:rPr>
  </w:style>
  <w:style w:type="paragraph" w:customStyle="1" w:styleId="28">
    <w:name w:val="Heading #1|1"/>
    <w:basedOn w:val="1"/>
    <w:link w:val="27"/>
    <w:qFormat/>
    <w:uiPriority w:val="0"/>
    <w:pPr>
      <w:shd w:val="clear" w:color="auto" w:fill="FFFFFF"/>
      <w:spacing w:before="780" w:line="360" w:lineRule="exact"/>
      <w:outlineLvl w:val="0"/>
    </w:pPr>
    <w:rPr>
      <w:rFonts w:ascii="PMingLiU" w:hAnsi="PMingLiU" w:eastAsia="PMingLiU" w:cs="PMingLiU"/>
      <w:sz w:val="36"/>
      <w:szCs w:val="36"/>
    </w:rPr>
  </w:style>
  <w:style w:type="character" w:customStyle="1" w:styleId="29">
    <w:name w:val="Table caption|1_"/>
    <w:basedOn w:val="6"/>
    <w:link w:val="30"/>
    <w:qFormat/>
    <w:uiPriority w:val="0"/>
    <w:rPr>
      <w:rFonts w:ascii="PMingLiU" w:hAnsi="PMingLiU" w:eastAsia="PMingLiU" w:cs="PMingLiU"/>
      <w:sz w:val="20"/>
      <w:szCs w:val="20"/>
      <w:u w:val="none"/>
    </w:rPr>
  </w:style>
  <w:style w:type="paragraph" w:customStyle="1" w:styleId="30">
    <w:name w:val="Table caption|1"/>
    <w:basedOn w:val="1"/>
    <w:link w:val="29"/>
    <w:qFormat/>
    <w:uiPriority w:val="0"/>
    <w:pPr>
      <w:shd w:val="clear" w:color="auto" w:fill="FFFFFF"/>
      <w:spacing w:line="200" w:lineRule="exact"/>
    </w:pPr>
    <w:rPr>
      <w:rFonts w:ascii="PMingLiU" w:hAnsi="PMingLiU" w:eastAsia="PMingLiU" w:cs="PMingLiU"/>
      <w:sz w:val="20"/>
      <w:szCs w:val="20"/>
    </w:rPr>
  </w:style>
  <w:style w:type="character" w:customStyle="1" w:styleId="31">
    <w:name w:val="Table caption|1 + Spacing 2 pt"/>
    <w:basedOn w:val="29"/>
    <w:semiHidden/>
    <w:unhideWhenUsed/>
    <w:qFormat/>
    <w:uiPriority w:val="0"/>
    <w:rPr>
      <w:rFonts w:ascii="PMingLiU" w:hAnsi="PMingLiU" w:eastAsia="PMingLiU" w:cs="PMingLiU"/>
      <w:color w:val="000000"/>
      <w:spacing w:val="50"/>
      <w:w w:val="100"/>
      <w:position w:val="0"/>
      <w:sz w:val="20"/>
      <w:szCs w:val="20"/>
      <w:u w:val="none"/>
      <w:lang w:val="zh-CN" w:eastAsia="zh-CN" w:bidi="zh-CN"/>
    </w:rPr>
  </w:style>
  <w:style w:type="character" w:customStyle="1" w:styleId="32">
    <w:name w:val="Body text|2 + 10 pt"/>
    <w:basedOn w:val="15"/>
    <w:semiHidden/>
    <w:unhideWhenUsed/>
    <w:qFormat/>
    <w:uiPriority w:val="0"/>
    <w:rPr>
      <w:rFonts w:ascii="PMingLiU" w:hAnsi="PMingLiU" w:eastAsia="PMingLiU" w:cs="PMingLiU"/>
      <w:color w:val="000000"/>
      <w:spacing w:val="50"/>
      <w:w w:val="100"/>
      <w:position w:val="0"/>
      <w:sz w:val="20"/>
      <w:szCs w:val="20"/>
      <w:u w:val="none"/>
      <w:lang w:val="zh-CN" w:eastAsia="zh-CN" w:bidi="zh-CN"/>
    </w:rPr>
  </w:style>
  <w:style w:type="character" w:customStyle="1" w:styleId="33">
    <w:name w:val="Body text|2 + 10 pt1"/>
    <w:basedOn w:val="15"/>
    <w:semiHidden/>
    <w:unhideWhenUsed/>
    <w:qFormat/>
    <w:uiPriority w:val="0"/>
    <w:rPr>
      <w:rFonts w:ascii="PMingLiU" w:hAnsi="PMingLiU" w:eastAsia="PMingLiU" w:cs="PMingLiU"/>
      <w:color w:val="000000"/>
      <w:spacing w:val="0"/>
      <w:w w:val="100"/>
      <w:position w:val="0"/>
      <w:sz w:val="20"/>
      <w:szCs w:val="20"/>
      <w:u w:val="none"/>
      <w:lang w:val="zh-CN" w:eastAsia="zh-CN" w:bidi="zh-CN"/>
    </w:rPr>
  </w:style>
  <w:style w:type="character" w:customStyle="1" w:styleId="34">
    <w:name w:val="Body text|2 + 18 pt"/>
    <w:basedOn w:val="15"/>
    <w:semiHidden/>
    <w:unhideWhenUsed/>
    <w:qFormat/>
    <w:uiPriority w:val="0"/>
    <w:rPr>
      <w:rFonts w:ascii="PMingLiU" w:hAnsi="PMingLiU" w:eastAsia="PMingLiU" w:cs="PMingLiU"/>
      <w:color w:val="000000"/>
      <w:spacing w:val="90"/>
      <w:w w:val="60"/>
      <w:position w:val="0"/>
      <w:sz w:val="36"/>
      <w:szCs w:val="36"/>
      <w:u w:val="none"/>
      <w:lang w:val="zh-CN" w:eastAsia="zh-CN" w:bidi="zh-CN"/>
    </w:rPr>
  </w:style>
  <w:style w:type="character" w:customStyle="1" w:styleId="35">
    <w:name w:val="Body text|2 + 21 pt"/>
    <w:basedOn w:val="15"/>
    <w:semiHidden/>
    <w:unhideWhenUsed/>
    <w:qFormat/>
    <w:uiPriority w:val="0"/>
    <w:rPr>
      <w:rFonts w:ascii="PMingLiU" w:hAnsi="PMingLiU" w:eastAsia="PMingLiU" w:cs="PMingLiU"/>
      <w:color w:val="000000"/>
      <w:spacing w:val="70"/>
      <w:w w:val="90"/>
      <w:position w:val="0"/>
      <w:sz w:val="42"/>
      <w:szCs w:val="42"/>
      <w:u w:val="none"/>
      <w:lang w:val="zh-CN" w:eastAsia="zh-CN" w:bidi="zh-CN"/>
    </w:rPr>
  </w:style>
  <w:style w:type="character" w:customStyle="1" w:styleId="36">
    <w:name w:val="Body text|2 + Times New Roman1"/>
    <w:basedOn w:val="15"/>
    <w:semiHidden/>
    <w:unhideWhenUsed/>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37">
    <w:name w:val="Table caption|1 Exact"/>
    <w:basedOn w:val="6"/>
    <w:semiHidden/>
    <w:unhideWhenUsed/>
    <w:qFormat/>
    <w:uiPriority w:val="0"/>
    <w:rPr>
      <w:rFonts w:ascii="PMingLiU" w:hAnsi="PMingLiU" w:eastAsia="PMingLiU" w:cs="PMingLiU"/>
      <w:sz w:val="20"/>
      <w:szCs w:val="20"/>
      <w:u w:val="none"/>
    </w:rPr>
  </w:style>
  <w:style w:type="character" w:customStyle="1" w:styleId="38">
    <w:name w:val="Body text|7_"/>
    <w:basedOn w:val="6"/>
    <w:link w:val="39"/>
    <w:qFormat/>
    <w:uiPriority w:val="0"/>
    <w:rPr>
      <w:rFonts w:ascii="PMingLiU" w:hAnsi="PMingLiU" w:eastAsia="PMingLiU" w:cs="PMingLiU"/>
      <w:sz w:val="20"/>
      <w:szCs w:val="20"/>
      <w:u w:val="none"/>
    </w:rPr>
  </w:style>
  <w:style w:type="paragraph" w:customStyle="1" w:styleId="39">
    <w:name w:val="Body text|7"/>
    <w:basedOn w:val="1"/>
    <w:link w:val="38"/>
    <w:qFormat/>
    <w:uiPriority w:val="0"/>
    <w:pPr>
      <w:shd w:val="clear" w:color="auto" w:fill="FFFFFF"/>
      <w:spacing w:after="320" w:line="200" w:lineRule="exact"/>
      <w:jc w:val="right"/>
    </w:pPr>
    <w:rPr>
      <w:rFonts w:ascii="PMingLiU" w:hAnsi="PMingLiU" w:eastAsia="PMingLiU" w:cs="PMingLiU"/>
      <w:sz w:val="20"/>
      <w:szCs w:val="20"/>
    </w:rPr>
  </w:style>
  <w:style w:type="character" w:customStyle="1" w:styleId="40">
    <w:name w:val="Header or footer|1 + Times New Roman1"/>
    <w:basedOn w:val="23"/>
    <w:semiHidden/>
    <w:unhideWhenUsed/>
    <w:qFormat/>
    <w:uiPriority w:val="0"/>
    <w:rPr>
      <w:rFonts w:ascii="Times New Roman" w:hAnsi="Times New Roman" w:eastAsia="Times New Roman" w:cs="Times New Roman"/>
      <w:color w:val="000000"/>
      <w:spacing w:val="0"/>
      <w:w w:val="100"/>
      <w:position w:val="0"/>
      <w:sz w:val="11"/>
      <w:szCs w:val="11"/>
      <w:u w:val="none"/>
      <w:lang w:val="en-US" w:eastAsia="en-US" w:bidi="en-US"/>
    </w:rPr>
  </w:style>
  <w:style w:type="character" w:customStyle="1" w:styleId="41">
    <w:name w:val="Header or footer|1 + 10 pt"/>
    <w:basedOn w:val="23"/>
    <w:semiHidden/>
    <w:unhideWhenUsed/>
    <w:qFormat/>
    <w:uiPriority w:val="0"/>
    <w:rPr>
      <w:rFonts w:ascii="PMingLiU" w:hAnsi="PMingLiU" w:eastAsia="PMingLiU" w:cs="PMingLiU"/>
      <w:color w:val="000000"/>
      <w:spacing w:val="30"/>
      <w:w w:val="80"/>
      <w:position w:val="0"/>
      <w:sz w:val="20"/>
      <w:szCs w:val="20"/>
      <w:u w:val="none"/>
      <w:lang w:val="zh-CN" w:eastAsia="zh-CN" w:bidi="zh-CN"/>
    </w:rPr>
  </w:style>
  <w:style w:type="character" w:customStyle="1" w:styleId="42">
    <w:name w:val="Header or footer|1 + Times New Roman2"/>
    <w:basedOn w:val="23"/>
    <w:semiHidden/>
    <w:unhideWhenUsed/>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43">
    <w:name w:val="Body text|2 + 10.5 pt"/>
    <w:basedOn w:val="15"/>
    <w:semiHidden/>
    <w:unhideWhenUsed/>
    <w:qFormat/>
    <w:uiPriority w:val="0"/>
    <w:rPr>
      <w:rFonts w:ascii="PMingLiU" w:hAnsi="PMingLiU" w:eastAsia="PMingLiU" w:cs="PMingLiU"/>
      <w:color w:val="000000"/>
      <w:spacing w:val="60"/>
      <w:w w:val="100"/>
      <w:position w:val="0"/>
      <w:sz w:val="21"/>
      <w:szCs w:val="21"/>
      <w:u w:val="none"/>
      <w:lang w:val="zh-CN" w:eastAsia="zh-CN" w:bidi="zh-CN"/>
    </w:rPr>
  </w:style>
  <w:style w:type="character" w:customStyle="1" w:styleId="44">
    <w:name w:val="Body text|5 + 5 pt"/>
    <w:basedOn w:val="13"/>
    <w:semiHidden/>
    <w:unhideWhenUsed/>
    <w:qFormat/>
    <w:uiPriority w:val="0"/>
    <w:rPr>
      <w:rFonts w:ascii="PMingLiU" w:hAnsi="PMingLiU" w:eastAsia="PMingLiU" w:cs="PMingLiU"/>
      <w:color w:val="000000"/>
      <w:spacing w:val="30"/>
      <w:w w:val="100"/>
      <w:position w:val="0"/>
      <w:sz w:val="10"/>
      <w:szCs w:val="10"/>
      <w:u w:val="none"/>
      <w:lang w:val="zh-CN" w:eastAsia="zh-CN" w:bidi="zh-CN"/>
    </w:rPr>
  </w:style>
  <w:style w:type="character" w:customStyle="1" w:styleId="45">
    <w:name w:val="Body text|5 + Not Bold"/>
    <w:basedOn w:val="13"/>
    <w:semiHidden/>
    <w:unhideWhenUsed/>
    <w:qFormat/>
    <w:uiPriority w:val="0"/>
    <w:rPr>
      <w:rFonts w:ascii="PMingLiU" w:hAnsi="PMingLiU" w:eastAsia="PMingLiU" w:cs="PMingLiU"/>
      <w:color w:val="000000"/>
      <w:spacing w:val="0"/>
      <w:w w:val="100"/>
      <w:position w:val="0"/>
      <w:sz w:val="30"/>
      <w:szCs w:val="30"/>
      <w:u w:val="none"/>
      <w:lang w:val="zh-CN" w:eastAsia="zh-CN" w:bidi="zh-CN"/>
    </w:rPr>
  </w:style>
  <w:style w:type="character" w:customStyle="1" w:styleId="46">
    <w:name w:val="Body text|8_"/>
    <w:basedOn w:val="6"/>
    <w:link w:val="47"/>
    <w:qFormat/>
    <w:uiPriority w:val="0"/>
    <w:rPr>
      <w:rFonts w:ascii="PMingLiU" w:hAnsi="PMingLiU" w:eastAsia="PMingLiU" w:cs="PMingLiU"/>
      <w:sz w:val="30"/>
      <w:szCs w:val="30"/>
      <w:u w:val="none"/>
    </w:rPr>
  </w:style>
  <w:style w:type="paragraph" w:customStyle="1" w:styleId="47">
    <w:name w:val="Body text|8"/>
    <w:basedOn w:val="1"/>
    <w:link w:val="46"/>
    <w:qFormat/>
    <w:uiPriority w:val="0"/>
    <w:pPr>
      <w:shd w:val="clear" w:color="auto" w:fill="FFFFFF"/>
      <w:spacing w:line="600" w:lineRule="exact"/>
      <w:ind w:firstLine="720"/>
      <w:jc w:val="distribute"/>
    </w:pPr>
    <w:rPr>
      <w:rFonts w:ascii="PMingLiU" w:hAnsi="PMingLiU" w:eastAsia="PMingLiU" w:cs="PMingLiU"/>
      <w:sz w:val="30"/>
      <w:szCs w:val="30"/>
    </w:rPr>
  </w:style>
  <w:style w:type="character" w:customStyle="1" w:styleId="48">
    <w:name w:val="Body text|2 + 12 pt1"/>
    <w:basedOn w:val="15"/>
    <w:semiHidden/>
    <w:unhideWhenUsed/>
    <w:qFormat/>
    <w:uiPriority w:val="0"/>
    <w:rPr>
      <w:rFonts w:ascii="PMingLiU" w:hAnsi="PMingLiU" w:eastAsia="PMingLiU" w:cs="PMingLiU"/>
      <w:color w:val="000000"/>
      <w:spacing w:val="20"/>
      <w:w w:val="100"/>
      <w:position w:val="0"/>
      <w:sz w:val="24"/>
      <w:szCs w:val="24"/>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3854</Words>
  <Characters>4357</Characters>
  <Lines>19</Lines>
  <Paragraphs>5</Paragraphs>
  <TotalTime>19</TotalTime>
  <ScaleCrop>false</ScaleCrop>
  <LinksUpToDate>false</LinksUpToDate>
  <CharactersWithSpaces>4882</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2019-01-17T03:01:00Z</dcterms:created>
  <dc:creator>Administrator</dc:creator>
  <cp:lastModifiedBy>朱敏</cp:lastModifiedBy>
  <cp:lastPrinted>2019-02-18T00:59:00Z</cp:lastPrinted>
  <dcterms:modified xsi:type="dcterms:W3CDTF">2022-08-26T02:56:47Z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C872CAF0B8CA4E8CBFF913A1B190ED7A</vt:lpwstr>
  </property>
</Properties>
</file>