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shd w:val="clear" w:color="auto" w:fill="auto"/>
        <w:spacing w:after="0" w:line="900" w:lineRule="exact"/>
        <w:rPr>
          <w:b/>
          <w:bCs/>
        </w:rPr>
      </w:pPr>
      <w:r>
        <w:rPr>
          <w:rFonts w:hint="eastAsia" w:eastAsiaTheme="minorEastAsia"/>
          <w:b/>
          <w:bCs/>
        </w:rPr>
        <w:t>石台县信访</w:t>
      </w:r>
      <w:r>
        <w:rPr>
          <w:b/>
          <w:bCs/>
        </w:rPr>
        <w:t>局</w:t>
      </w:r>
      <w:r>
        <w:rPr>
          <w:b/>
          <w:bCs/>
        </w:rPr>
        <w:br w:type="textWrapping"/>
      </w:r>
      <w:r>
        <w:rPr>
          <w:rStyle w:val="6"/>
          <w:rFonts w:hint="eastAsia" w:eastAsia="PMingLiU"/>
        </w:rPr>
        <w:t>20</w:t>
      </w:r>
      <w:r>
        <w:rPr>
          <w:rStyle w:val="6"/>
          <w:rFonts w:hint="eastAsia" w:eastAsia="PMingLiU"/>
          <w:lang w:val="en-US"/>
        </w:rPr>
        <w:t>2</w:t>
      </w:r>
      <w:r>
        <w:rPr>
          <w:rStyle w:val="6"/>
          <w:rFonts w:hint="eastAsia"/>
          <w:lang w:val="en-US"/>
        </w:rPr>
        <w:t>1</w:t>
      </w:r>
      <w:r>
        <w:rPr>
          <w:rStyle w:val="6"/>
          <w:rFonts w:hint="eastAsia" w:eastAsia="PMingLiU"/>
        </w:rPr>
        <w:t>年</w:t>
      </w:r>
      <w:r>
        <w:rPr>
          <w:b/>
          <w:bCs/>
        </w:rPr>
        <w:t>部门预算</w:t>
      </w:r>
    </w:p>
    <w:p>
      <w:pPr>
        <w:pStyle w:val="5"/>
        <w:shd w:val="clear" w:color="auto" w:fill="auto"/>
        <w:spacing w:after="0" w:line="560" w:lineRule="exact"/>
      </w:pPr>
    </w:p>
    <w:p>
      <w:pPr>
        <w:pStyle w:val="5"/>
        <w:shd w:val="clear" w:color="auto" w:fill="auto"/>
        <w:spacing w:after="0" w:line="560" w:lineRule="exact"/>
      </w:pPr>
    </w:p>
    <w:p>
      <w:pPr>
        <w:pStyle w:val="5"/>
        <w:shd w:val="clear" w:color="auto" w:fill="auto"/>
        <w:spacing w:after="0" w:line="560" w:lineRule="exact"/>
      </w:pPr>
    </w:p>
    <w:p>
      <w:pPr>
        <w:pStyle w:val="5"/>
        <w:shd w:val="clear" w:color="auto" w:fill="auto"/>
        <w:spacing w:after="0" w:line="560" w:lineRule="exact"/>
      </w:pPr>
    </w:p>
    <w:p>
      <w:pPr>
        <w:pStyle w:val="5"/>
        <w:shd w:val="clear" w:color="auto" w:fill="auto"/>
        <w:spacing w:after="0" w:line="560" w:lineRule="exact"/>
      </w:pPr>
    </w:p>
    <w:p>
      <w:pPr>
        <w:pStyle w:val="5"/>
        <w:shd w:val="clear" w:color="auto" w:fill="auto"/>
        <w:spacing w:after="0" w:line="560" w:lineRule="exact"/>
      </w:pPr>
    </w:p>
    <w:p>
      <w:pPr>
        <w:pStyle w:val="5"/>
        <w:shd w:val="clear" w:color="auto" w:fill="auto"/>
        <w:spacing w:after="0" w:line="560" w:lineRule="exact"/>
      </w:pPr>
    </w:p>
    <w:p>
      <w:pPr>
        <w:pStyle w:val="5"/>
        <w:shd w:val="clear" w:color="auto" w:fill="auto"/>
        <w:spacing w:after="0" w:line="560" w:lineRule="exact"/>
      </w:pPr>
    </w:p>
    <w:p>
      <w:pPr>
        <w:pStyle w:val="5"/>
        <w:shd w:val="clear" w:color="auto" w:fill="auto"/>
        <w:spacing w:after="0" w:line="560" w:lineRule="exact"/>
        <w:jc w:val="both"/>
      </w:pPr>
    </w:p>
    <w:p>
      <w:pPr>
        <w:pStyle w:val="5"/>
        <w:shd w:val="clear" w:color="auto" w:fill="auto"/>
        <w:spacing w:after="0" w:line="560" w:lineRule="exact"/>
        <w:rPr>
          <w:lang w:val="en-US"/>
        </w:rPr>
        <w:sectPr>
          <w:pgSz w:w="11900" w:h="16840"/>
          <w:pgMar w:top="4790" w:right="3555" w:bottom="3554" w:left="3147" w:header="0" w:footer="3" w:gutter="0"/>
          <w:cols w:space="720" w:num="1"/>
          <w:docGrid w:linePitch="360" w:charSpace="0"/>
        </w:sectPr>
      </w:pPr>
      <w:r>
        <w:rPr>
          <w:rStyle w:val="9"/>
          <w:rFonts w:hint="eastAsia"/>
        </w:rPr>
        <w:t>20</w:t>
      </w:r>
      <w:r>
        <w:rPr>
          <w:rStyle w:val="9"/>
          <w:rFonts w:hint="eastAsia"/>
          <w:lang w:val="en-US"/>
        </w:rPr>
        <w:t>21</w:t>
      </w:r>
      <w:r>
        <w:rPr>
          <w:rStyle w:val="9"/>
          <w:rFonts w:hint="eastAsia"/>
        </w:rPr>
        <w:t>年</w:t>
      </w:r>
      <w:r>
        <w:rPr>
          <w:rStyle w:val="9"/>
          <w:rFonts w:hint="eastAsia"/>
          <w:lang w:val="en-US"/>
        </w:rPr>
        <w:t>2</w:t>
      </w:r>
      <w:r>
        <w:rPr>
          <w:rStyle w:val="9"/>
        </w:rPr>
        <w:t>月</w:t>
      </w:r>
      <w:r>
        <w:rPr>
          <w:rStyle w:val="9"/>
          <w:rFonts w:hint="eastAsia"/>
          <w:lang w:val="en-US"/>
        </w:rPr>
        <w:t>18日</w:t>
      </w:r>
    </w:p>
    <w:p>
      <w:pPr>
        <w:spacing w:before="65" w:after="65" w:line="240" w:lineRule="exact"/>
        <w:rPr>
          <w:sz w:val="19"/>
          <w:szCs w:val="19"/>
        </w:rPr>
      </w:pPr>
    </w:p>
    <w:p>
      <w:pPr>
        <w:rPr>
          <w:sz w:val="2"/>
          <w:szCs w:val="2"/>
        </w:rPr>
        <w:sectPr>
          <w:pgSz w:w="11900" w:h="16840"/>
          <w:pgMar w:top="1920" w:right="0" w:bottom="1775" w:left="0" w:header="0" w:footer="3" w:gutter="0"/>
          <w:cols w:space="720" w:num="1"/>
          <w:docGrid w:linePitch="360" w:charSpace="0"/>
        </w:sectPr>
      </w:pPr>
    </w:p>
    <w:p>
      <w:pPr>
        <w:pStyle w:val="11"/>
        <w:shd w:val="clear" w:color="auto" w:fill="auto"/>
        <w:rPr>
          <w:rFonts w:ascii="仿宋" w:hAnsi="仿宋" w:eastAsia="仿宋" w:cs="仿宋"/>
          <w:sz w:val="32"/>
          <w:szCs w:val="32"/>
          <w:lang w:val="en-US"/>
        </w:rPr>
      </w:pPr>
      <w:r>
        <w:rPr>
          <w:rFonts w:hint="eastAsia" w:ascii="仿宋" w:hAnsi="仿宋" w:eastAsia="仿宋" w:cs="仿宋"/>
          <w:sz w:val="32"/>
          <w:szCs w:val="32"/>
          <w:lang w:val="en-US"/>
        </w:rPr>
        <w:t xml:space="preserve">                </w:t>
      </w:r>
      <w:r>
        <w:rPr>
          <w:rFonts w:hint="eastAsia" w:ascii="仿宋" w:hAnsi="仿宋" w:eastAsia="仿宋" w:cs="仿宋"/>
          <w:sz w:val="36"/>
          <w:szCs w:val="36"/>
          <w:lang w:val="en-US"/>
        </w:rPr>
        <w:t xml:space="preserve"> </w:t>
      </w:r>
      <w:r>
        <w:rPr>
          <w:rFonts w:hint="eastAsia" w:ascii="仿宋" w:hAnsi="仿宋" w:eastAsia="仿宋" w:cs="仿宋"/>
          <w:sz w:val="32"/>
          <w:szCs w:val="32"/>
          <w:lang w:val="en-US"/>
        </w:rPr>
        <w:t>目录</w:t>
      </w:r>
    </w:p>
    <w:p>
      <w:pPr>
        <w:pStyle w:val="11"/>
        <w:shd w:val="clear" w:color="auto" w:fill="auto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第一部分</w:t>
      </w:r>
      <w:r>
        <w:rPr>
          <w:rFonts w:hint="eastAsia" w:ascii="仿宋" w:hAnsi="仿宋" w:eastAsia="仿宋" w:cs="仿宋"/>
          <w:sz w:val="32"/>
          <w:szCs w:val="32"/>
          <w:lang w:val="en-US"/>
        </w:rPr>
        <w:t xml:space="preserve"> </w:t>
      </w:r>
      <w:r>
        <w:rPr>
          <w:rFonts w:hint="eastAsia" w:ascii="仿宋" w:hAnsi="仿宋" w:eastAsia="仿宋" w:cs="仿宋"/>
          <w:sz w:val="32"/>
          <w:szCs w:val="32"/>
        </w:rPr>
        <w:t>部门概况</w:t>
      </w:r>
    </w:p>
    <w:p>
      <w:pPr>
        <w:pStyle w:val="13"/>
        <w:numPr>
          <w:ilvl w:val="0"/>
          <w:numId w:val="1"/>
        </w:numPr>
        <w:shd w:val="clear" w:color="auto" w:fill="auto"/>
        <w:tabs>
          <w:tab w:val="left" w:pos="382"/>
        </w:tabs>
        <w:spacing w:before="0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主要职责</w:t>
      </w:r>
    </w:p>
    <w:p>
      <w:pPr>
        <w:pStyle w:val="13"/>
        <w:numPr>
          <w:ilvl w:val="0"/>
          <w:numId w:val="1"/>
        </w:numPr>
        <w:shd w:val="clear" w:color="auto" w:fill="auto"/>
        <w:tabs>
          <w:tab w:val="left" w:pos="392"/>
        </w:tabs>
        <w:spacing w:before="0" w:after="30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部门预算单位构成</w:t>
      </w:r>
    </w:p>
    <w:p>
      <w:pPr>
        <w:pStyle w:val="13"/>
        <w:numPr>
          <w:ilvl w:val="0"/>
          <w:numId w:val="1"/>
        </w:numPr>
        <w:shd w:val="clear" w:color="auto" w:fill="auto"/>
        <w:tabs>
          <w:tab w:val="left" w:pos="392"/>
        </w:tabs>
        <w:spacing w:before="0" w:after="0" w:line="538" w:lineRule="exact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20</w:t>
      </w:r>
      <w:r>
        <w:rPr>
          <w:rFonts w:hint="eastAsia" w:ascii="仿宋" w:hAnsi="仿宋" w:eastAsia="仿宋" w:cs="仿宋"/>
          <w:sz w:val="32"/>
          <w:szCs w:val="32"/>
          <w:lang w:val="en-US"/>
        </w:rPr>
        <w:t>2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</w:t>
      </w:r>
      <w:r>
        <w:rPr>
          <w:rFonts w:hint="eastAsia" w:ascii="仿宋" w:hAnsi="仿宋" w:eastAsia="仿宋" w:cs="仿宋"/>
          <w:sz w:val="32"/>
          <w:szCs w:val="32"/>
        </w:rPr>
        <w:t>年度主要工作任务</w:t>
      </w:r>
    </w:p>
    <w:p>
      <w:pPr>
        <w:pStyle w:val="11"/>
        <w:shd w:val="clear" w:color="auto" w:fill="auto"/>
        <w:spacing w:after="0" w:line="538" w:lineRule="exact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第二部分</w:t>
      </w:r>
      <w:r>
        <w:rPr>
          <w:rFonts w:hint="eastAsia" w:ascii="仿宋" w:hAnsi="仿宋" w:eastAsia="仿宋" w:cs="仿宋"/>
          <w:sz w:val="32"/>
          <w:szCs w:val="32"/>
          <w:lang w:val="en-US"/>
        </w:rPr>
        <w:t xml:space="preserve"> </w:t>
      </w:r>
      <w:r>
        <w:rPr>
          <w:rFonts w:hint="eastAsia" w:ascii="仿宋" w:hAnsi="仿宋" w:eastAsia="仿宋" w:cs="仿宋"/>
          <w:sz w:val="32"/>
          <w:szCs w:val="32"/>
        </w:rPr>
        <w:t>20</w:t>
      </w:r>
      <w:r>
        <w:rPr>
          <w:rFonts w:hint="eastAsia" w:ascii="仿宋" w:hAnsi="仿宋" w:eastAsia="仿宋" w:cs="仿宋"/>
          <w:sz w:val="32"/>
          <w:szCs w:val="32"/>
          <w:lang w:val="en-US"/>
        </w:rPr>
        <w:t>2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</w:t>
      </w:r>
      <w:r>
        <w:rPr>
          <w:rFonts w:hint="eastAsia" w:ascii="仿宋" w:hAnsi="仿宋" w:eastAsia="仿宋" w:cs="仿宋"/>
          <w:sz w:val="32"/>
          <w:szCs w:val="32"/>
        </w:rPr>
        <w:t>年部门预算情况说明</w:t>
      </w:r>
    </w:p>
    <w:p>
      <w:pPr>
        <w:pStyle w:val="11"/>
        <w:shd w:val="clear" w:color="auto" w:fill="auto"/>
        <w:spacing w:after="0" w:line="538" w:lineRule="exact"/>
        <w:rPr>
          <w:rFonts w:ascii="仿宋" w:hAnsi="仿宋" w:eastAsia="仿宋" w:cs="仿宋"/>
          <w:b w:val="0"/>
          <w:bCs w:val="0"/>
          <w:sz w:val="32"/>
          <w:szCs w:val="32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</w:rPr>
        <w:t>1.关于20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/>
        </w:rPr>
        <w:t>2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1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</w:rPr>
        <w:t>年财政拨款收支预算总体情况说明</w:t>
      </w:r>
    </w:p>
    <w:p>
      <w:pPr>
        <w:pStyle w:val="11"/>
        <w:shd w:val="clear" w:color="auto" w:fill="auto"/>
        <w:spacing w:after="0" w:line="538" w:lineRule="exact"/>
        <w:rPr>
          <w:rFonts w:ascii="仿宋" w:hAnsi="仿宋" w:eastAsia="仿宋" w:cs="仿宋"/>
          <w:b w:val="0"/>
          <w:bCs w:val="0"/>
          <w:sz w:val="32"/>
          <w:szCs w:val="32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</w:rPr>
        <w:t>2.关于20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/>
        </w:rPr>
        <w:t>2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1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</w:rPr>
        <w:t>年一般公共预算财政拨款情况说明</w:t>
      </w:r>
    </w:p>
    <w:p>
      <w:pPr>
        <w:pStyle w:val="11"/>
        <w:shd w:val="clear" w:color="auto" w:fill="auto"/>
        <w:spacing w:after="0" w:line="538" w:lineRule="exact"/>
        <w:rPr>
          <w:rFonts w:ascii="仿宋" w:hAnsi="仿宋" w:eastAsia="仿宋" w:cs="仿宋"/>
          <w:b w:val="0"/>
          <w:bCs w:val="0"/>
          <w:sz w:val="32"/>
          <w:szCs w:val="32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</w:rPr>
        <w:t>3.关于20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/>
        </w:rPr>
        <w:t>2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1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</w:rPr>
        <w:t>年一般公共预算基本支出情况说明</w:t>
      </w:r>
    </w:p>
    <w:p>
      <w:pPr>
        <w:pStyle w:val="11"/>
        <w:shd w:val="clear" w:color="auto" w:fill="auto"/>
        <w:spacing w:after="0" w:line="538" w:lineRule="exact"/>
        <w:rPr>
          <w:rFonts w:ascii="仿宋" w:hAnsi="仿宋" w:eastAsia="仿宋" w:cs="仿宋"/>
          <w:b w:val="0"/>
          <w:bCs w:val="0"/>
          <w:sz w:val="32"/>
          <w:szCs w:val="32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</w:rPr>
        <w:t>4.关于20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/>
        </w:rPr>
        <w:t>2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1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</w:rPr>
        <w:t>年政府性基金预算拨款情况说明</w:t>
      </w:r>
    </w:p>
    <w:p>
      <w:pPr>
        <w:pStyle w:val="11"/>
        <w:shd w:val="clear" w:color="auto" w:fill="auto"/>
        <w:spacing w:after="0" w:line="538" w:lineRule="exact"/>
        <w:rPr>
          <w:rFonts w:ascii="仿宋" w:hAnsi="仿宋" w:eastAsia="仿宋" w:cs="仿宋"/>
          <w:b w:val="0"/>
          <w:bCs w:val="0"/>
          <w:sz w:val="32"/>
          <w:szCs w:val="32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/>
        </w:rPr>
        <w:t>5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</w:rPr>
        <w:t>.关于20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/>
        </w:rPr>
        <w:t>2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1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</w:rPr>
        <w:t>年收支预算总体情况说明</w:t>
      </w:r>
    </w:p>
    <w:p>
      <w:pPr>
        <w:pStyle w:val="11"/>
        <w:shd w:val="clear" w:color="auto" w:fill="auto"/>
        <w:spacing w:after="0" w:line="538" w:lineRule="exact"/>
        <w:rPr>
          <w:rFonts w:ascii="仿宋" w:hAnsi="仿宋" w:eastAsia="仿宋" w:cs="仿宋"/>
          <w:b w:val="0"/>
          <w:bCs w:val="0"/>
          <w:sz w:val="32"/>
          <w:szCs w:val="32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/>
        </w:rPr>
        <w:t>6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</w:rPr>
        <w:t>.关于20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/>
        </w:rPr>
        <w:t>2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1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</w:rPr>
        <w:t>年收入预算情况说明</w:t>
      </w:r>
    </w:p>
    <w:p>
      <w:pPr>
        <w:pStyle w:val="11"/>
        <w:shd w:val="clear" w:color="auto" w:fill="auto"/>
        <w:spacing w:after="0" w:line="538" w:lineRule="exact"/>
        <w:rPr>
          <w:rFonts w:ascii="仿宋" w:hAnsi="仿宋" w:eastAsia="仿宋" w:cs="仿宋"/>
          <w:b w:val="0"/>
          <w:bCs w:val="0"/>
          <w:sz w:val="32"/>
          <w:szCs w:val="32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/>
        </w:rPr>
        <w:t>7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</w:rPr>
        <w:t>.关于20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/>
        </w:rPr>
        <w:t>2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1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</w:rPr>
        <w:t>年支出预算情况说明</w:t>
      </w:r>
    </w:p>
    <w:p>
      <w:pPr>
        <w:pStyle w:val="11"/>
        <w:shd w:val="clear" w:color="auto" w:fill="auto"/>
        <w:spacing w:after="0" w:line="538" w:lineRule="exact"/>
        <w:rPr>
          <w:rFonts w:ascii="仿宋" w:hAnsi="仿宋" w:eastAsia="仿宋" w:cs="仿宋"/>
          <w:b w:val="0"/>
          <w:bCs w:val="0"/>
          <w:sz w:val="32"/>
          <w:szCs w:val="32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/>
        </w:rPr>
        <w:t>8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</w:rPr>
        <w:t>.关于20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/>
        </w:rPr>
        <w:t>2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1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</w:rPr>
        <w:t>年国有资本经营预算拨款情况说明</w:t>
      </w:r>
    </w:p>
    <w:p>
      <w:pPr>
        <w:pStyle w:val="11"/>
        <w:shd w:val="clear" w:color="auto" w:fill="auto"/>
        <w:spacing w:after="0" w:line="538" w:lineRule="exact"/>
        <w:rPr>
          <w:rFonts w:ascii="仿宋" w:hAnsi="仿宋" w:eastAsia="仿宋" w:cs="仿宋"/>
          <w:b w:val="0"/>
          <w:bCs w:val="0"/>
          <w:sz w:val="32"/>
          <w:szCs w:val="32"/>
          <w:lang w:val="en-US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/>
        </w:rPr>
        <w:t>9.批复绩效目标的项目及绩效目标设置情况说明</w:t>
      </w:r>
    </w:p>
    <w:p>
      <w:pPr>
        <w:pStyle w:val="11"/>
        <w:shd w:val="clear" w:color="auto" w:fill="auto"/>
        <w:spacing w:after="0" w:line="538" w:lineRule="exact"/>
        <w:rPr>
          <w:rFonts w:ascii="仿宋" w:hAnsi="仿宋" w:eastAsia="仿宋" w:cs="仿宋"/>
          <w:b w:val="0"/>
          <w:bCs w:val="0"/>
          <w:sz w:val="32"/>
          <w:szCs w:val="32"/>
          <w:highlight w:val="yellow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/>
        </w:rPr>
        <w:t>10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</w:rPr>
        <w:t xml:space="preserve">.其他重要事项情况说明（含机关运行经费、政府采购预算、政府购买服务预算、国有资产占用情况等说明） </w:t>
      </w:r>
    </w:p>
    <w:p>
      <w:pPr>
        <w:pStyle w:val="13"/>
        <w:shd w:val="clear" w:color="auto" w:fill="auto"/>
        <w:tabs>
          <w:tab w:val="left" w:pos="392"/>
        </w:tabs>
        <w:spacing w:before="0" w:after="0" w:line="538" w:lineRule="exact"/>
        <w:rPr>
          <w:rFonts w:ascii="仿宋" w:hAnsi="仿宋" w:eastAsia="仿宋" w:cs="仿宋"/>
          <w:sz w:val="32"/>
          <w:szCs w:val="32"/>
        </w:rPr>
      </w:pPr>
      <w:r>
        <w:rPr>
          <w:rStyle w:val="15"/>
          <w:rFonts w:hint="eastAsia" w:ascii="仿宋" w:hAnsi="仿宋" w:eastAsia="仿宋" w:cs="仿宋"/>
          <w:sz w:val="32"/>
          <w:szCs w:val="32"/>
        </w:rPr>
        <w:t>第三部分</w:t>
      </w:r>
      <w:r>
        <w:rPr>
          <w:rStyle w:val="15"/>
          <w:rFonts w:hint="eastAsia" w:ascii="仿宋" w:hAnsi="仿宋" w:eastAsia="仿宋" w:cs="仿宋"/>
          <w:sz w:val="32"/>
          <w:szCs w:val="32"/>
          <w:lang w:val="en-US"/>
        </w:rPr>
        <w:t xml:space="preserve"> </w:t>
      </w:r>
      <w:r>
        <w:rPr>
          <w:rStyle w:val="15"/>
          <w:rFonts w:hint="eastAsia" w:ascii="仿宋" w:hAnsi="仿宋" w:eastAsia="仿宋" w:cs="仿宋"/>
          <w:sz w:val="32"/>
          <w:szCs w:val="32"/>
        </w:rPr>
        <w:t>名词解释</w:t>
      </w:r>
    </w:p>
    <w:p>
      <w:pPr>
        <w:pStyle w:val="11"/>
        <w:shd w:val="clear" w:color="auto" w:fill="auto"/>
        <w:spacing w:after="0" w:line="538" w:lineRule="exact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第四部分</w:t>
      </w:r>
      <w:r>
        <w:rPr>
          <w:rFonts w:hint="eastAsia" w:ascii="仿宋" w:hAnsi="仿宋" w:eastAsia="仿宋" w:cs="仿宋"/>
          <w:sz w:val="32"/>
          <w:szCs w:val="32"/>
          <w:lang w:val="en-US"/>
        </w:rPr>
        <w:t xml:space="preserve"> </w:t>
      </w:r>
      <w:r>
        <w:rPr>
          <w:rFonts w:hint="eastAsia" w:ascii="仿宋" w:hAnsi="仿宋" w:eastAsia="仿宋" w:cs="仿宋"/>
          <w:sz w:val="32"/>
          <w:szCs w:val="32"/>
        </w:rPr>
        <w:t>20</w:t>
      </w:r>
      <w:r>
        <w:rPr>
          <w:rFonts w:hint="eastAsia" w:ascii="仿宋" w:hAnsi="仿宋" w:eastAsia="仿宋" w:cs="仿宋"/>
          <w:sz w:val="32"/>
          <w:szCs w:val="32"/>
          <w:lang w:val="en-US"/>
        </w:rPr>
        <w:t>2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</w:t>
      </w:r>
      <w:r>
        <w:rPr>
          <w:rFonts w:hint="eastAsia" w:ascii="仿宋" w:hAnsi="仿宋" w:eastAsia="仿宋" w:cs="仿宋"/>
          <w:sz w:val="32"/>
          <w:szCs w:val="32"/>
        </w:rPr>
        <w:t>年部门预算表（附表）</w:t>
      </w:r>
    </w:p>
    <w:p>
      <w:pPr>
        <w:pStyle w:val="13"/>
        <w:numPr>
          <w:ilvl w:val="0"/>
          <w:numId w:val="2"/>
        </w:numPr>
        <w:shd w:val="clear" w:color="auto" w:fill="auto"/>
        <w:tabs>
          <w:tab w:val="left" w:pos="382"/>
        </w:tabs>
        <w:spacing w:before="0" w:after="0" w:line="538" w:lineRule="exact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20</w:t>
      </w:r>
      <w:r>
        <w:rPr>
          <w:rFonts w:hint="eastAsia" w:ascii="仿宋" w:hAnsi="仿宋" w:eastAsia="仿宋" w:cs="仿宋"/>
          <w:sz w:val="32"/>
          <w:szCs w:val="32"/>
          <w:lang w:val="en-US"/>
        </w:rPr>
        <w:t>2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</w:t>
      </w:r>
      <w:r>
        <w:rPr>
          <w:rFonts w:hint="eastAsia" w:ascii="仿宋" w:hAnsi="仿宋" w:eastAsia="仿宋" w:cs="仿宋"/>
          <w:sz w:val="32"/>
          <w:szCs w:val="32"/>
        </w:rPr>
        <w:t>年部门财政拨款收支预算总表</w:t>
      </w:r>
    </w:p>
    <w:p>
      <w:pPr>
        <w:pStyle w:val="13"/>
        <w:numPr>
          <w:ilvl w:val="0"/>
          <w:numId w:val="2"/>
        </w:numPr>
        <w:shd w:val="clear" w:color="auto" w:fill="auto"/>
        <w:tabs>
          <w:tab w:val="left" w:pos="392"/>
        </w:tabs>
        <w:spacing w:before="0" w:after="0" w:line="538" w:lineRule="exact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20</w:t>
      </w:r>
      <w:r>
        <w:rPr>
          <w:rFonts w:hint="eastAsia" w:ascii="仿宋" w:hAnsi="仿宋" w:eastAsia="仿宋" w:cs="仿宋"/>
          <w:sz w:val="32"/>
          <w:szCs w:val="32"/>
          <w:lang w:val="en-US"/>
        </w:rPr>
        <w:t>2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</w:t>
      </w:r>
      <w:r>
        <w:rPr>
          <w:rFonts w:hint="eastAsia" w:ascii="仿宋" w:hAnsi="仿宋" w:eastAsia="仿宋" w:cs="仿宋"/>
          <w:sz w:val="32"/>
          <w:szCs w:val="32"/>
        </w:rPr>
        <w:t>年部门一般公共预算支出预算表</w:t>
      </w:r>
    </w:p>
    <w:p>
      <w:pPr>
        <w:pStyle w:val="13"/>
        <w:numPr>
          <w:ilvl w:val="0"/>
          <w:numId w:val="2"/>
        </w:numPr>
        <w:shd w:val="clear" w:color="auto" w:fill="auto"/>
        <w:tabs>
          <w:tab w:val="left" w:pos="392"/>
        </w:tabs>
        <w:spacing w:before="0" w:after="0" w:line="538" w:lineRule="exact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20</w:t>
      </w:r>
      <w:r>
        <w:rPr>
          <w:rFonts w:hint="eastAsia" w:ascii="仿宋" w:hAnsi="仿宋" w:eastAsia="仿宋" w:cs="仿宋"/>
          <w:sz w:val="32"/>
          <w:szCs w:val="32"/>
          <w:lang w:val="en-US"/>
        </w:rPr>
        <w:t>2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</w:t>
      </w:r>
      <w:r>
        <w:rPr>
          <w:rFonts w:hint="eastAsia" w:ascii="仿宋" w:hAnsi="仿宋" w:eastAsia="仿宋" w:cs="仿宋"/>
          <w:sz w:val="32"/>
          <w:szCs w:val="32"/>
        </w:rPr>
        <w:t>年部门一般公共预算基本支出预算表</w:t>
      </w:r>
    </w:p>
    <w:p>
      <w:pPr>
        <w:pStyle w:val="13"/>
        <w:numPr>
          <w:ilvl w:val="0"/>
          <w:numId w:val="2"/>
        </w:numPr>
        <w:shd w:val="clear" w:color="auto" w:fill="auto"/>
        <w:tabs>
          <w:tab w:val="left" w:pos="392"/>
        </w:tabs>
        <w:spacing w:before="0" w:after="0" w:line="538" w:lineRule="exact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20</w:t>
      </w:r>
      <w:r>
        <w:rPr>
          <w:rFonts w:hint="eastAsia" w:ascii="仿宋" w:hAnsi="仿宋" w:eastAsia="仿宋" w:cs="仿宋"/>
          <w:sz w:val="32"/>
          <w:szCs w:val="32"/>
          <w:lang w:val="en-US"/>
        </w:rPr>
        <w:t>2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</w:t>
      </w:r>
      <w:r>
        <w:rPr>
          <w:rFonts w:hint="eastAsia" w:ascii="仿宋" w:hAnsi="仿宋" w:eastAsia="仿宋" w:cs="仿宋"/>
          <w:sz w:val="32"/>
          <w:szCs w:val="32"/>
        </w:rPr>
        <w:t>年部门政府性基金预算支出预算表</w:t>
      </w:r>
    </w:p>
    <w:p>
      <w:pPr>
        <w:pStyle w:val="13"/>
        <w:numPr>
          <w:ilvl w:val="0"/>
          <w:numId w:val="2"/>
        </w:numPr>
        <w:shd w:val="clear" w:color="auto" w:fill="auto"/>
        <w:tabs>
          <w:tab w:val="left" w:pos="411"/>
        </w:tabs>
        <w:spacing w:before="0" w:after="0" w:line="538" w:lineRule="exact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20</w:t>
      </w:r>
      <w:r>
        <w:rPr>
          <w:rFonts w:hint="eastAsia" w:ascii="仿宋" w:hAnsi="仿宋" w:eastAsia="仿宋" w:cs="仿宋"/>
          <w:sz w:val="32"/>
          <w:szCs w:val="32"/>
          <w:lang w:val="en-US"/>
        </w:rPr>
        <w:t>2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</w:t>
      </w:r>
      <w:r>
        <w:rPr>
          <w:rFonts w:hint="eastAsia" w:ascii="仿宋" w:hAnsi="仿宋" w:eastAsia="仿宋" w:cs="仿宋"/>
          <w:sz w:val="32"/>
          <w:szCs w:val="32"/>
        </w:rPr>
        <w:t>年部门收支预算总表</w:t>
      </w:r>
    </w:p>
    <w:p>
      <w:pPr>
        <w:pStyle w:val="13"/>
        <w:numPr>
          <w:ilvl w:val="0"/>
          <w:numId w:val="2"/>
        </w:numPr>
        <w:shd w:val="clear" w:color="auto" w:fill="auto"/>
        <w:tabs>
          <w:tab w:val="left" w:pos="411"/>
        </w:tabs>
        <w:spacing w:before="0" w:after="0" w:line="538" w:lineRule="exact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20</w:t>
      </w:r>
      <w:r>
        <w:rPr>
          <w:rFonts w:hint="eastAsia" w:ascii="仿宋" w:hAnsi="仿宋" w:eastAsia="仿宋" w:cs="仿宋"/>
          <w:sz w:val="32"/>
          <w:szCs w:val="32"/>
          <w:lang w:val="en-US"/>
        </w:rPr>
        <w:t>2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</w:t>
      </w:r>
      <w:r>
        <w:rPr>
          <w:rFonts w:hint="eastAsia" w:ascii="仿宋" w:hAnsi="仿宋" w:eastAsia="仿宋" w:cs="仿宋"/>
          <w:sz w:val="32"/>
          <w:szCs w:val="32"/>
        </w:rPr>
        <w:t>年部门收入预算总表</w:t>
      </w:r>
    </w:p>
    <w:p>
      <w:pPr>
        <w:pStyle w:val="13"/>
        <w:numPr>
          <w:ilvl w:val="0"/>
          <w:numId w:val="2"/>
        </w:numPr>
        <w:shd w:val="clear" w:color="auto" w:fill="auto"/>
        <w:tabs>
          <w:tab w:val="left" w:pos="411"/>
        </w:tabs>
        <w:spacing w:before="0" w:after="0" w:line="538" w:lineRule="exact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20</w:t>
      </w:r>
      <w:r>
        <w:rPr>
          <w:rFonts w:hint="eastAsia" w:ascii="仿宋" w:hAnsi="仿宋" w:eastAsia="仿宋" w:cs="仿宋"/>
          <w:sz w:val="32"/>
          <w:szCs w:val="32"/>
          <w:lang w:val="en-US"/>
        </w:rPr>
        <w:t>2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</w:t>
      </w:r>
      <w:r>
        <w:rPr>
          <w:rFonts w:hint="eastAsia" w:ascii="仿宋" w:hAnsi="仿宋" w:eastAsia="仿宋" w:cs="仿宋"/>
          <w:sz w:val="32"/>
          <w:szCs w:val="32"/>
        </w:rPr>
        <w:t>年部门支出预算总表</w:t>
      </w:r>
    </w:p>
    <w:p>
      <w:pPr>
        <w:pStyle w:val="13"/>
        <w:numPr>
          <w:ilvl w:val="0"/>
          <w:numId w:val="2"/>
        </w:numPr>
        <w:shd w:val="clear" w:color="auto" w:fill="auto"/>
        <w:tabs>
          <w:tab w:val="left" w:pos="411"/>
        </w:tabs>
        <w:spacing w:before="0" w:after="0" w:line="538" w:lineRule="exact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/>
        </w:rPr>
        <w:t>202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</w:t>
      </w:r>
      <w:r>
        <w:rPr>
          <w:rFonts w:hint="eastAsia" w:ascii="仿宋" w:hAnsi="仿宋" w:eastAsia="仿宋" w:cs="仿宋"/>
          <w:sz w:val="32"/>
          <w:szCs w:val="32"/>
          <w:lang w:val="en-US"/>
        </w:rPr>
        <w:t>年部门</w:t>
      </w:r>
      <w:r>
        <w:rPr>
          <w:rFonts w:hint="eastAsia" w:ascii="仿宋" w:hAnsi="仿宋" w:eastAsia="仿宋" w:cs="仿宋"/>
          <w:sz w:val="32"/>
          <w:szCs w:val="32"/>
        </w:rPr>
        <w:t>国有资本经营预算支出预算表</w:t>
      </w:r>
    </w:p>
    <w:p>
      <w:pPr>
        <w:pStyle w:val="13"/>
        <w:numPr>
          <w:ilvl w:val="0"/>
          <w:numId w:val="2"/>
        </w:numPr>
        <w:shd w:val="clear" w:color="auto" w:fill="auto"/>
        <w:tabs>
          <w:tab w:val="left" w:pos="392"/>
        </w:tabs>
        <w:spacing w:before="0" w:after="0" w:line="538" w:lineRule="exact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/>
        </w:rPr>
        <w:t>202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</w:t>
      </w:r>
      <w:r>
        <w:rPr>
          <w:rFonts w:hint="eastAsia" w:ascii="仿宋" w:hAnsi="仿宋" w:eastAsia="仿宋" w:cs="仿宋"/>
          <w:sz w:val="32"/>
          <w:szCs w:val="32"/>
          <w:lang w:val="en-US"/>
        </w:rPr>
        <w:t>年部门政府采购预算表</w:t>
      </w:r>
    </w:p>
    <w:p>
      <w:pPr>
        <w:pStyle w:val="13"/>
        <w:shd w:val="clear" w:color="auto" w:fill="auto"/>
        <w:tabs>
          <w:tab w:val="left" w:pos="392"/>
        </w:tabs>
        <w:spacing w:before="0" w:after="0" w:line="538" w:lineRule="exact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/>
        </w:rPr>
        <w:t>10.202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</w:t>
      </w:r>
      <w:r>
        <w:rPr>
          <w:rFonts w:hint="eastAsia" w:ascii="仿宋" w:hAnsi="仿宋" w:eastAsia="仿宋" w:cs="仿宋"/>
          <w:sz w:val="32"/>
          <w:szCs w:val="32"/>
          <w:lang w:val="en-US"/>
        </w:rPr>
        <w:t>年政府购买服务预算表</w:t>
      </w:r>
    </w:p>
    <w:p>
      <w:pPr>
        <w:pStyle w:val="17"/>
        <w:shd w:val="clear" w:color="auto" w:fill="auto"/>
        <w:spacing w:after="81"/>
        <w:ind w:left="80"/>
      </w:pPr>
    </w:p>
    <w:p>
      <w:pPr>
        <w:pStyle w:val="17"/>
        <w:shd w:val="clear" w:color="auto" w:fill="auto"/>
        <w:spacing w:after="81"/>
        <w:ind w:left="80"/>
      </w:pPr>
    </w:p>
    <w:p>
      <w:pPr>
        <w:pStyle w:val="17"/>
        <w:shd w:val="clear" w:color="auto" w:fill="auto"/>
        <w:spacing w:after="81"/>
        <w:ind w:left="80"/>
      </w:pPr>
    </w:p>
    <w:p>
      <w:pPr>
        <w:pStyle w:val="17"/>
        <w:shd w:val="clear" w:color="auto" w:fill="auto"/>
        <w:spacing w:after="81"/>
        <w:ind w:left="80"/>
      </w:pPr>
    </w:p>
    <w:p>
      <w:pPr>
        <w:pStyle w:val="17"/>
        <w:shd w:val="clear" w:color="auto" w:fill="auto"/>
        <w:spacing w:after="81"/>
        <w:ind w:left="80"/>
      </w:pPr>
    </w:p>
    <w:p>
      <w:pPr>
        <w:pStyle w:val="17"/>
        <w:shd w:val="clear" w:color="auto" w:fill="auto"/>
        <w:spacing w:after="81"/>
        <w:ind w:left="80"/>
      </w:pPr>
    </w:p>
    <w:p>
      <w:pPr>
        <w:pStyle w:val="17"/>
        <w:shd w:val="clear" w:color="auto" w:fill="auto"/>
        <w:spacing w:after="81"/>
        <w:ind w:left="80"/>
      </w:pPr>
    </w:p>
    <w:p>
      <w:pPr>
        <w:pStyle w:val="17"/>
        <w:shd w:val="clear" w:color="auto" w:fill="auto"/>
        <w:spacing w:after="81"/>
        <w:ind w:left="80"/>
      </w:pPr>
    </w:p>
    <w:p>
      <w:pPr>
        <w:pStyle w:val="17"/>
        <w:shd w:val="clear" w:color="auto" w:fill="auto"/>
        <w:spacing w:after="81"/>
        <w:ind w:left="80"/>
      </w:pPr>
    </w:p>
    <w:p>
      <w:pPr>
        <w:pStyle w:val="17"/>
        <w:shd w:val="clear" w:color="auto" w:fill="auto"/>
        <w:spacing w:after="81"/>
        <w:ind w:left="80"/>
      </w:pPr>
    </w:p>
    <w:p>
      <w:pPr>
        <w:pStyle w:val="17"/>
        <w:shd w:val="clear" w:color="auto" w:fill="auto"/>
        <w:spacing w:after="81"/>
        <w:ind w:left="80"/>
      </w:pPr>
    </w:p>
    <w:p>
      <w:pPr>
        <w:pStyle w:val="17"/>
        <w:shd w:val="clear" w:color="auto" w:fill="auto"/>
        <w:spacing w:after="81"/>
        <w:ind w:left="80"/>
      </w:pPr>
    </w:p>
    <w:p>
      <w:pPr>
        <w:pStyle w:val="17"/>
        <w:shd w:val="clear" w:color="auto" w:fill="auto"/>
        <w:spacing w:after="81"/>
        <w:ind w:left="80"/>
      </w:pPr>
    </w:p>
    <w:p>
      <w:pPr>
        <w:pStyle w:val="17"/>
        <w:shd w:val="clear" w:color="auto" w:fill="auto"/>
        <w:spacing w:after="81"/>
        <w:ind w:left="80"/>
      </w:pPr>
    </w:p>
    <w:p>
      <w:pPr>
        <w:pStyle w:val="17"/>
        <w:shd w:val="clear" w:color="auto" w:fill="auto"/>
        <w:spacing w:after="81"/>
        <w:ind w:left="80"/>
      </w:pPr>
    </w:p>
    <w:p>
      <w:pPr>
        <w:pStyle w:val="17"/>
        <w:shd w:val="clear" w:color="auto" w:fill="auto"/>
        <w:spacing w:after="81"/>
        <w:ind w:left="80"/>
      </w:pPr>
    </w:p>
    <w:p>
      <w:pPr>
        <w:pStyle w:val="17"/>
        <w:shd w:val="clear" w:color="auto" w:fill="auto"/>
        <w:spacing w:after="81"/>
        <w:ind w:left="80"/>
      </w:pPr>
    </w:p>
    <w:p>
      <w:pPr>
        <w:pStyle w:val="17"/>
        <w:shd w:val="clear" w:color="auto" w:fill="auto"/>
        <w:spacing w:after="81"/>
        <w:ind w:left="80"/>
      </w:pPr>
    </w:p>
    <w:p>
      <w:pPr>
        <w:pStyle w:val="17"/>
        <w:shd w:val="clear" w:color="auto" w:fill="auto"/>
        <w:spacing w:after="81"/>
        <w:ind w:left="80"/>
      </w:pPr>
    </w:p>
    <w:p>
      <w:pPr>
        <w:pStyle w:val="17"/>
        <w:shd w:val="clear" w:color="auto" w:fill="auto"/>
        <w:spacing w:after="81"/>
        <w:ind w:left="80"/>
      </w:pPr>
    </w:p>
    <w:p>
      <w:pPr>
        <w:pStyle w:val="17"/>
        <w:shd w:val="clear" w:color="auto" w:fill="auto"/>
        <w:spacing w:after="81"/>
        <w:ind w:left="80"/>
      </w:pPr>
    </w:p>
    <w:p>
      <w:pPr>
        <w:pStyle w:val="17"/>
        <w:shd w:val="clear" w:color="auto" w:fill="auto"/>
        <w:spacing w:after="81"/>
        <w:ind w:left="80"/>
      </w:pPr>
    </w:p>
    <w:p>
      <w:pPr>
        <w:pStyle w:val="17"/>
        <w:shd w:val="clear" w:color="auto" w:fill="auto"/>
        <w:spacing w:after="81"/>
        <w:ind w:left="80"/>
      </w:pPr>
    </w:p>
    <w:p>
      <w:pPr>
        <w:pStyle w:val="17"/>
        <w:shd w:val="clear" w:color="auto" w:fill="auto"/>
        <w:spacing w:after="81"/>
        <w:ind w:left="80"/>
      </w:pPr>
    </w:p>
    <w:p>
      <w:pPr>
        <w:pStyle w:val="17"/>
        <w:shd w:val="clear" w:color="auto" w:fill="auto"/>
        <w:spacing w:after="81"/>
        <w:ind w:left="80"/>
      </w:pPr>
    </w:p>
    <w:p>
      <w:pPr>
        <w:pStyle w:val="17"/>
        <w:shd w:val="clear" w:color="auto" w:fill="auto"/>
        <w:spacing w:after="81"/>
        <w:ind w:left="80"/>
      </w:pPr>
    </w:p>
    <w:p>
      <w:pPr>
        <w:pStyle w:val="17"/>
        <w:shd w:val="clear" w:color="auto" w:fill="auto"/>
        <w:spacing w:after="81" w:line="360" w:lineRule="auto"/>
        <w:jc w:val="both"/>
      </w:pPr>
    </w:p>
    <w:p>
      <w:pPr>
        <w:pStyle w:val="17"/>
        <w:shd w:val="clear" w:color="auto" w:fill="auto"/>
        <w:spacing w:after="81" w:line="360" w:lineRule="auto"/>
        <w:ind w:firstLine="763" w:firstLineChars="200"/>
        <w:rPr>
          <w:rFonts w:ascii="仿宋" w:hAnsi="仿宋" w:eastAsia="仿宋" w:cs="仿宋"/>
          <w:b/>
          <w:bCs/>
        </w:rPr>
      </w:pPr>
      <w:r>
        <w:rPr>
          <w:rFonts w:hint="eastAsia" w:ascii="仿宋" w:hAnsi="仿宋" w:eastAsia="仿宋" w:cs="仿宋"/>
          <w:b/>
          <w:bCs/>
        </w:rPr>
        <w:t>第一部分</w:t>
      </w:r>
      <w:r>
        <w:rPr>
          <w:rFonts w:hint="eastAsia" w:ascii="仿宋" w:hAnsi="仿宋" w:eastAsia="仿宋" w:cs="仿宋"/>
          <w:b/>
          <w:bCs/>
          <w:lang w:val="en-US"/>
        </w:rPr>
        <w:t xml:space="preserve"> </w:t>
      </w:r>
      <w:r>
        <w:rPr>
          <w:rFonts w:hint="eastAsia" w:ascii="仿宋" w:hAnsi="仿宋" w:eastAsia="仿宋" w:cs="仿宋"/>
          <w:b/>
          <w:bCs/>
        </w:rPr>
        <w:t>部门概况</w:t>
      </w:r>
    </w:p>
    <w:p>
      <w:pPr>
        <w:pStyle w:val="11"/>
        <w:shd w:val="clear" w:color="auto" w:fill="auto"/>
        <w:tabs>
          <w:tab w:val="left" w:pos="1301"/>
        </w:tabs>
        <w:spacing w:after="0" w:line="360" w:lineRule="auto"/>
        <w:ind w:firstLine="763" w:firstLineChars="200"/>
        <w:jc w:val="both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一、</w:t>
      </w:r>
      <w:r>
        <w:rPr>
          <w:rFonts w:hint="eastAsia" w:ascii="仿宋" w:hAnsi="仿宋" w:eastAsia="仿宋" w:cs="仿宋"/>
          <w:sz w:val="32"/>
          <w:szCs w:val="32"/>
        </w:rPr>
        <w:tab/>
      </w:r>
      <w:r>
        <w:rPr>
          <w:rFonts w:hint="eastAsia" w:ascii="仿宋" w:hAnsi="仿宋" w:eastAsia="仿宋" w:cs="仿宋"/>
          <w:sz w:val="32"/>
          <w:szCs w:val="32"/>
        </w:rPr>
        <w:t>主要职责</w:t>
      </w:r>
    </w:p>
    <w:p>
      <w:pPr>
        <w:pStyle w:val="13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760" w:firstLineChars="200"/>
        <w:jc w:val="both"/>
        <w:textAlignment w:val="auto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（一）贯彻落实上级党委、政府有关信访工作的方针、政策。</w:t>
      </w:r>
    </w:p>
    <w:p>
      <w:pPr>
        <w:pStyle w:val="13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760" w:firstLineChars="200"/>
        <w:jc w:val="both"/>
        <w:textAlignment w:val="auto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（二）代表县委、县政府受理来信、网上信访、接待来访;向信访人宣传法律、法规、规章和政策;维护信访人的合法权益。</w:t>
      </w:r>
    </w:p>
    <w:p>
      <w:pPr>
        <w:pStyle w:val="13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760" w:firstLineChars="200"/>
        <w:jc w:val="both"/>
        <w:textAlignment w:val="auto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三）处理群众和境外人士给县委、县政府的来信:承办上级党政机关转办、交办的信访事项;接待群众来访，保证信访渠道畅通;及时、准确地向县委、县政府领导同志反映来信来访中的重要建议、意见和问题;综合分析信访信息，开展调查研究。</w:t>
      </w:r>
    </w:p>
    <w:p>
      <w:pPr>
        <w:pStyle w:val="13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760" w:firstLineChars="200"/>
        <w:jc w:val="both"/>
        <w:textAlignment w:val="auto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（四）负责全县信访数据统计、分析和信访动态的预测、收集、整理和上报。</w:t>
      </w:r>
    </w:p>
    <w:p>
      <w:pPr>
        <w:pStyle w:val="13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760" w:firstLineChars="200"/>
        <w:jc w:val="both"/>
        <w:textAlignment w:val="auto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（五）承办县委、县政府领导同志交办的信访事项,督促检查领导同志有关批示文件的落实情况;负责协调、督促责任单位处理信访问题。</w:t>
      </w:r>
    </w:p>
    <w:p>
      <w:pPr>
        <w:pStyle w:val="13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760" w:firstLineChars="200"/>
        <w:jc w:val="both"/>
        <w:textAlignment w:val="auto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（六）协调处理跨地区、跨部门的重要信访问题，协调处理群众来县赴省进京集体上访和异常、突发性信访事件。</w:t>
      </w:r>
    </w:p>
    <w:p>
      <w:pPr>
        <w:pStyle w:val="13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760" w:firstLineChars="200"/>
        <w:jc w:val="both"/>
        <w:textAlignment w:val="auto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（七）负责全县信访工作理论研究、信访法规宣传和信访干部业务培训工作。</w:t>
      </w:r>
    </w:p>
    <w:p>
      <w:pPr>
        <w:pStyle w:val="13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760" w:firstLineChars="200"/>
        <w:jc w:val="both"/>
        <w:textAlignment w:val="auto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（八）负责人民群众建议的征集、调查论证及呈报工作，为县委、县政府决策提供依据。</w:t>
      </w:r>
    </w:p>
    <w:p>
      <w:pPr>
        <w:pStyle w:val="13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760" w:firstLineChars="200"/>
        <w:jc w:val="both"/>
        <w:textAlignment w:val="auto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（九）承办县委、县政府交办的其他工作。</w:t>
      </w:r>
    </w:p>
    <w:p>
      <w:pPr>
        <w:pStyle w:val="11"/>
        <w:keepNext w:val="0"/>
        <w:keepLines w:val="0"/>
        <w:pageBreakBefore w:val="0"/>
        <w:widowControl w:val="0"/>
        <w:shd w:val="clear" w:color="auto" w:fill="auto"/>
        <w:tabs>
          <w:tab w:val="left" w:pos="1301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763" w:firstLineChars="200"/>
        <w:jc w:val="both"/>
        <w:textAlignment w:val="auto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二、</w:t>
      </w:r>
      <w:r>
        <w:rPr>
          <w:rFonts w:hint="eastAsia" w:ascii="仿宋" w:hAnsi="仿宋" w:eastAsia="仿宋" w:cs="仿宋"/>
          <w:sz w:val="32"/>
          <w:szCs w:val="32"/>
        </w:rPr>
        <w:tab/>
      </w:r>
      <w:r>
        <w:rPr>
          <w:rFonts w:hint="eastAsia" w:ascii="仿宋" w:hAnsi="仿宋" w:eastAsia="仿宋" w:cs="仿宋"/>
          <w:sz w:val="32"/>
          <w:szCs w:val="32"/>
        </w:rPr>
        <w:t>部门预算单位构成</w:t>
      </w:r>
    </w:p>
    <w:tbl>
      <w:tblPr>
        <w:tblStyle w:val="2"/>
        <w:tblW w:w="9220" w:type="dxa"/>
        <w:jc w:val="center"/>
        <w:tblInd w:w="0" w:type="dxa"/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933"/>
        <w:gridCol w:w="3682"/>
        <w:gridCol w:w="4605"/>
      </w:tblGrid>
      <w:tr>
        <w:tblPrEx>
          <w:tblLayout w:type="fixed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47" w:hRule="exact"/>
          <w:jc w:val="center"/>
        </w:trPr>
        <w:tc>
          <w:tcPr>
            <w:tcW w:w="933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13"/>
              <w:keepNext w:val="0"/>
              <w:keepLines w:val="0"/>
              <w:pageBreakBefore w:val="0"/>
              <w:framePr w:w="9041" w:h="1661" w:hRule="exact" w:wrap="notBeside" w:vAnchor="text" w:hAnchor="page" w:x="1416" w:y="1991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0" w:lineRule="atLeast"/>
              <w:ind w:firstLine="560" w:firstLineChars="200"/>
              <w:jc w:val="center"/>
              <w:textAlignment w:val="auto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Style w:val="45"/>
                <w:rFonts w:hint="eastAsia" w:ascii="仿宋" w:hAnsi="仿宋" w:eastAsia="仿宋" w:cs="仿宋"/>
              </w:rPr>
              <w:t>序号</w:t>
            </w:r>
          </w:p>
        </w:tc>
        <w:tc>
          <w:tcPr>
            <w:tcW w:w="3682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13"/>
              <w:keepNext w:val="0"/>
              <w:keepLines w:val="0"/>
              <w:pageBreakBefore w:val="0"/>
              <w:framePr w:w="9041" w:h="1661" w:hRule="exact" w:wrap="notBeside" w:vAnchor="text" w:hAnchor="page" w:x="1416" w:y="1991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0" w:lineRule="atLeast"/>
              <w:ind w:firstLine="560" w:firstLineChars="200"/>
              <w:jc w:val="center"/>
              <w:textAlignment w:val="auto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Style w:val="45"/>
                <w:rFonts w:hint="eastAsia" w:ascii="仿宋" w:hAnsi="仿宋" w:eastAsia="仿宋" w:cs="仿宋"/>
              </w:rPr>
              <w:t>单位名称</w:t>
            </w:r>
          </w:p>
        </w:tc>
        <w:tc>
          <w:tcPr>
            <w:tcW w:w="460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pStyle w:val="13"/>
              <w:keepNext w:val="0"/>
              <w:keepLines w:val="0"/>
              <w:pageBreakBefore w:val="0"/>
              <w:framePr w:w="9041" w:h="1661" w:hRule="exact" w:wrap="notBeside" w:vAnchor="text" w:hAnchor="page" w:x="1416" w:y="1991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0" w:lineRule="atLeast"/>
              <w:ind w:firstLine="560" w:firstLineChars="200"/>
              <w:jc w:val="center"/>
              <w:textAlignment w:val="auto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Style w:val="45"/>
                <w:rFonts w:hint="eastAsia" w:ascii="仿宋" w:hAnsi="仿宋" w:eastAsia="仿宋" w:cs="仿宋"/>
              </w:rPr>
              <w:t>单位性质</w:t>
            </w:r>
          </w:p>
        </w:tc>
      </w:tr>
      <w:tr>
        <w:tblPrEx>
          <w:tblLayout w:type="fixed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77" w:hRule="exact"/>
          <w:jc w:val="center"/>
        </w:trPr>
        <w:tc>
          <w:tcPr>
            <w:tcW w:w="9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>
            <w:pPr>
              <w:pStyle w:val="13"/>
              <w:keepNext w:val="0"/>
              <w:keepLines w:val="0"/>
              <w:pageBreakBefore w:val="0"/>
              <w:framePr w:w="9041" w:h="1661" w:hRule="exact" w:wrap="notBeside" w:vAnchor="text" w:hAnchor="page" w:x="1416" w:y="1991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0" w:lineRule="atLeast"/>
              <w:ind w:firstLine="560" w:firstLineChars="200"/>
              <w:jc w:val="center"/>
              <w:textAlignment w:val="auto"/>
              <w:rPr>
                <w:rStyle w:val="45"/>
                <w:rFonts w:ascii="仿宋" w:hAnsi="仿宋" w:eastAsia="仿宋" w:cs="仿宋"/>
                <w:lang w:val="en-US"/>
              </w:rPr>
            </w:pPr>
            <w:r>
              <w:rPr>
                <w:rStyle w:val="45"/>
                <w:rFonts w:hint="eastAsia" w:ascii="仿宋" w:hAnsi="仿宋" w:eastAsia="仿宋" w:cs="仿宋"/>
                <w:lang w:val="en-US"/>
              </w:rPr>
              <w:t>1</w:t>
            </w:r>
          </w:p>
        </w:tc>
        <w:tc>
          <w:tcPr>
            <w:tcW w:w="36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>
            <w:pPr>
              <w:pStyle w:val="13"/>
              <w:keepNext w:val="0"/>
              <w:keepLines w:val="0"/>
              <w:pageBreakBefore w:val="0"/>
              <w:framePr w:w="9041" w:h="1661" w:hRule="exact" w:wrap="notBeside" w:vAnchor="text" w:hAnchor="page" w:x="1416" w:y="1991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0" w:lineRule="atLeast"/>
              <w:ind w:firstLine="560" w:firstLineChars="200"/>
              <w:jc w:val="center"/>
              <w:textAlignment w:val="auto"/>
              <w:rPr>
                <w:rStyle w:val="45"/>
                <w:rFonts w:ascii="仿宋" w:hAnsi="仿宋" w:eastAsia="仿宋" w:cs="仿宋"/>
                <w:lang w:val="en-US"/>
              </w:rPr>
            </w:pPr>
            <w:r>
              <w:rPr>
                <w:rStyle w:val="45"/>
                <w:rFonts w:hint="eastAsia" w:ascii="仿宋" w:hAnsi="仿宋" w:eastAsia="仿宋" w:cs="仿宋"/>
                <w:lang w:val="en-US"/>
              </w:rPr>
              <w:t>局本级</w:t>
            </w:r>
          </w:p>
        </w:tc>
        <w:tc>
          <w:tcPr>
            <w:tcW w:w="46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pStyle w:val="13"/>
              <w:keepNext w:val="0"/>
              <w:keepLines w:val="0"/>
              <w:pageBreakBefore w:val="0"/>
              <w:framePr w:w="9041" w:h="1661" w:hRule="exact" w:wrap="notBeside" w:vAnchor="text" w:hAnchor="page" w:x="1416" w:y="1991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0" w:lineRule="atLeast"/>
              <w:ind w:firstLine="560" w:firstLineChars="200"/>
              <w:jc w:val="center"/>
              <w:textAlignment w:val="auto"/>
              <w:rPr>
                <w:rStyle w:val="45"/>
                <w:rFonts w:ascii="仿宋" w:hAnsi="仿宋" w:eastAsia="仿宋" w:cs="仿宋"/>
                <w:lang w:val="en-US"/>
              </w:rPr>
            </w:pPr>
            <w:r>
              <w:rPr>
                <w:rStyle w:val="45"/>
                <w:rFonts w:hint="eastAsia" w:ascii="仿宋" w:hAnsi="仿宋" w:eastAsia="仿宋" w:cs="仿宋"/>
                <w:lang w:val="en-US"/>
              </w:rPr>
              <w:t>行政单位</w:t>
            </w:r>
          </w:p>
        </w:tc>
      </w:tr>
    </w:tbl>
    <w:p>
      <w:pPr>
        <w:keepNext w:val="0"/>
        <w:keepLines w:val="0"/>
        <w:pageBreakBefore w:val="0"/>
        <w:framePr w:w="9041" w:h="1661" w:hRule="exact" w:wrap="notBeside" w:vAnchor="text" w:hAnchor="page" w:x="1416" w:y="1991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ascii="仿宋" w:hAnsi="仿宋" w:eastAsia="仿宋" w:cs="仿宋"/>
          <w:sz w:val="32"/>
          <w:szCs w:val="32"/>
        </w:rPr>
      </w:pPr>
    </w:p>
    <w:p>
      <w:pPr>
        <w:pStyle w:val="13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760" w:firstLineChars="200"/>
        <w:jc w:val="both"/>
        <w:textAlignment w:val="auto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/>
        </w:rPr>
        <w:t>石台县信访</w:t>
      </w:r>
      <w:r>
        <w:rPr>
          <w:rFonts w:hint="eastAsia" w:ascii="仿宋" w:hAnsi="仿宋" w:eastAsia="仿宋" w:cs="仿宋"/>
          <w:sz w:val="32"/>
          <w:szCs w:val="32"/>
        </w:rPr>
        <w:t>局无下属预算单位，20</w:t>
      </w:r>
      <w:r>
        <w:rPr>
          <w:rFonts w:hint="eastAsia" w:ascii="仿宋" w:hAnsi="仿宋" w:eastAsia="仿宋" w:cs="仿宋"/>
          <w:sz w:val="32"/>
          <w:szCs w:val="32"/>
          <w:lang w:val="en-US"/>
        </w:rPr>
        <w:t>2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</w:t>
      </w:r>
      <w:r>
        <w:rPr>
          <w:rFonts w:hint="eastAsia" w:ascii="仿宋" w:hAnsi="仿宋" w:eastAsia="仿宋" w:cs="仿宋"/>
          <w:sz w:val="32"/>
          <w:szCs w:val="32"/>
        </w:rPr>
        <w:t>年度部门预算由局本级预算组成，纳入部门预算编制范围的单位共</w:t>
      </w:r>
      <w:r>
        <w:rPr>
          <w:rFonts w:hint="eastAsia" w:ascii="仿宋" w:hAnsi="仿宋" w:eastAsia="仿宋" w:cs="仿宋"/>
          <w:sz w:val="32"/>
          <w:szCs w:val="32"/>
          <w:lang w:val="en-US"/>
        </w:rPr>
        <w:t>1</w:t>
      </w:r>
      <w:r>
        <w:rPr>
          <w:rFonts w:hint="eastAsia" w:ascii="仿宋" w:hAnsi="仿宋" w:eastAsia="仿宋" w:cs="仿宋"/>
          <w:sz w:val="32"/>
          <w:szCs w:val="32"/>
        </w:rPr>
        <w:t>个，具体情况见下表。</w:t>
      </w:r>
    </w:p>
    <w:p>
      <w:pPr>
        <w:pStyle w:val="11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763" w:firstLineChars="200"/>
        <w:jc w:val="both"/>
        <w:textAlignment w:val="auto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三、20</w:t>
      </w:r>
      <w:r>
        <w:rPr>
          <w:rFonts w:hint="eastAsia" w:ascii="仿宋" w:hAnsi="仿宋" w:eastAsia="仿宋" w:cs="仿宋"/>
          <w:sz w:val="32"/>
          <w:szCs w:val="32"/>
          <w:lang w:val="en-US"/>
        </w:rPr>
        <w:t>2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</w:t>
      </w:r>
      <w:r>
        <w:rPr>
          <w:rFonts w:hint="eastAsia" w:ascii="仿宋" w:hAnsi="仿宋" w:eastAsia="仿宋" w:cs="仿宋"/>
          <w:sz w:val="32"/>
          <w:szCs w:val="32"/>
        </w:rPr>
        <w:t>年度主要工作任务</w:t>
      </w:r>
    </w:p>
    <w:p>
      <w:pPr>
        <w:pStyle w:val="13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760" w:firstLineChars="200"/>
        <w:jc w:val="both"/>
        <w:textAlignment w:val="auto"/>
        <w:rPr>
          <w:rFonts w:ascii="仿宋" w:hAnsi="仿宋" w:eastAsia="仿宋" w:cs="仿宋"/>
          <w:sz w:val="32"/>
          <w:szCs w:val="32"/>
        </w:rPr>
        <w:sectPr>
          <w:type w:val="continuous"/>
          <w:pgSz w:w="11900" w:h="16840"/>
          <w:pgMar w:top="1920" w:right="1182" w:bottom="1775" w:left="1296" w:header="0" w:footer="3" w:gutter="0"/>
          <w:cols w:space="720" w:num="1"/>
          <w:docGrid w:linePitch="360" w:charSpace="0"/>
        </w:sectPr>
      </w:pPr>
      <w:r>
        <w:rPr>
          <w:rFonts w:hint="eastAsia" w:ascii="仿宋" w:hAnsi="仿宋" w:eastAsia="仿宋" w:cs="仿宋"/>
          <w:sz w:val="32"/>
          <w:szCs w:val="32"/>
        </w:rPr>
        <w:t>坚持以习近平新时代中国特色社会主义思想为指导，深入学习贯彻党的十九大精神、</w:t>
      </w:r>
      <w:r>
        <w:rPr>
          <w:rFonts w:hint="eastAsia" w:ascii="仿宋" w:hAnsi="仿宋" w:eastAsia="仿宋" w:cs="仿宋"/>
          <w:sz w:val="32"/>
          <w:szCs w:val="32"/>
          <w:lang w:val="en-US"/>
        </w:rPr>
        <w:t>十九届二中、三中全会精神，贯彻落实上级党委、政府有关信访工作的方针、政策，认真接待来信来访；做好到北京和省分流中心驻京以及两会期间、重大节日期间接访、劝返工作；维护社会稳定，加大救助信访特困人员工作；继续开展县领导信访接待日和县领导带案下访活动；做好网上信访信息系统化建设以及县级投诉平台的网上信访，实现信访业务全部网上流转；加大信访积案化解力度，推动问题解决；全力开展信访业务培训，每季度召开信访维稳会议、群众工作开展干部“包片联户，服务群众”活动等。</w:t>
      </w:r>
    </w:p>
    <w:p>
      <w:pPr>
        <w:pStyle w:val="17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763" w:firstLineChars="200"/>
        <w:textAlignment w:val="auto"/>
        <w:rPr>
          <w:rFonts w:ascii="仿宋" w:hAnsi="仿宋" w:eastAsia="仿宋" w:cs="仿宋"/>
          <w:b/>
          <w:bCs/>
        </w:rPr>
      </w:pPr>
      <w:r>
        <w:rPr>
          <w:rFonts w:hint="eastAsia" w:ascii="仿宋" w:hAnsi="仿宋" w:eastAsia="仿宋" w:cs="仿宋"/>
          <w:b/>
          <w:bCs/>
        </w:rPr>
        <w:t>第二部分</w:t>
      </w:r>
      <w:r>
        <w:rPr>
          <w:rFonts w:hint="eastAsia" w:ascii="仿宋" w:hAnsi="仿宋" w:eastAsia="仿宋" w:cs="仿宋"/>
          <w:b/>
          <w:bCs/>
          <w:lang w:val="en-US"/>
        </w:rPr>
        <w:t xml:space="preserve"> </w:t>
      </w:r>
      <w:r>
        <w:rPr>
          <w:rStyle w:val="19"/>
          <w:rFonts w:hint="eastAsia" w:ascii="仿宋" w:hAnsi="仿宋" w:eastAsia="仿宋" w:cs="仿宋"/>
          <w:b/>
          <w:bCs/>
          <w:sz w:val="32"/>
          <w:szCs w:val="32"/>
        </w:rPr>
        <w:t>20</w:t>
      </w:r>
      <w:r>
        <w:rPr>
          <w:rStyle w:val="19"/>
          <w:rFonts w:hint="eastAsia" w:ascii="仿宋" w:hAnsi="仿宋" w:eastAsia="仿宋" w:cs="仿宋"/>
          <w:b/>
          <w:bCs/>
          <w:sz w:val="32"/>
          <w:szCs w:val="32"/>
          <w:lang w:val="en-US"/>
        </w:rPr>
        <w:t>21</w:t>
      </w:r>
      <w:r>
        <w:rPr>
          <w:rStyle w:val="19"/>
          <w:rFonts w:hint="eastAsia" w:ascii="仿宋" w:hAnsi="仿宋" w:eastAsia="仿宋" w:cs="仿宋"/>
          <w:b/>
          <w:bCs/>
          <w:sz w:val="32"/>
          <w:szCs w:val="32"/>
        </w:rPr>
        <w:t>年</w:t>
      </w:r>
      <w:r>
        <w:rPr>
          <w:rFonts w:hint="eastAsia" w:ascii="仿宋" w:hAnsi="仿宋" w:eastAsia="仿宋" w:cs="仿宋"/>
          <w:b/>
          <w:bCs/>
        </w:rPr>
        <w:t>部门预算情况说明</w:t>
      </w:r>
    </w:p>
    <w:p>
      <w:pPr>
        <w:pStyle w:val="11"/>
        <w:keepNext w:val="0"/>
        <w:keepLines w:val="0"/>
        <w:pageBreakBefore w:val="0"/>
        <w:widowControl w:val="0"/>
        <w:shd w:val="clear" w:color="auto" w:fill="auto"/>
        <w:tabs>
          <w:tab w:val="left" w:pos="1473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760" w:firstLineChars="200"/>
        <w:jc w:val="both"/>
        <w:textAlignment w:val="auto"/>
        <w:rPr>
          <w:rFonts w:ascii="仿宋" w:hAnsi="仿宋" w:eastAsia="仿宋" w:cs="仿宋"/>
          <w:sz w:val="32"/>
          <w:szCs w:val="32"/>
        </w:rPr>
      </w:pPr>
      <w:r>
        <w:rPr>
          <w:rStyle w:val="41"/>
          <w:rFonts w:hint="eastAsia" w:ascii="仿宋" w:hAnsi="仿宋" w:eastAsia="仿宋" w:cs="仿宋"/>
          <w:b w:val="0"/>
          <w:bCs w:val="0"/>
          <w:sz w:val="32"/>
          <w:szCs w:val="32"/>
        </w:rPr>
        <w:t>一、</w:t>
      </w:r>
      <w:r>
        <w:rPr>
          <w:rStyle w:val="41"/>
          <w:rFonts w:hint="eastAsia" w:ascii="仿宋" w:hAnsi="仿宋" w:eastAsia="仿宋" w:cs="仿宋"/>
          <w:b w:val="0"/>
          <w:bCs w:val="0"/>
          <w:sz w:val="32"/>
          <w:szCs w:val="32"/>
        </w:rPr>
        <w:tab/>
      </w:r>
      <w:r>
        <w:rPr>
          <w:rFonts w:hint="eastAsia" w:ascii="仿宋" w:hAnsi="仿宋" w:eastAsia="仿宋" w:cs="仿宋"/>
          <w:sz w:val="32"/>
          <w:szCs w:val="32"/>
        </w:rPr>
        <w:t>关于20</w:t>
      </w:r>
      <w:r>
        <w:rPr>
          <w:rFonts w:hint="eastAsia" w:ascii="仿宋" w:hAnsi="仿宋" w:eastAsia="仿宋" w:cs="仿宋"/>
          <w:sz w:val="32"/>
          <w:szCs w:val="32"/>
          <w:lang w:val="en-US"/>
        </w:rPr>
        <w:t>2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</w:t>
      </w:r>
      <w:r>
        <w:rPr>
          <w:rFonts w:hint="eastAsia" w:ascii="仿宋" w:hAnsi="仿宋" w:eastAsia="仿宋" w:cs="仿宋"/>
          <w:sz w:val="32"/>
          <w:szCs w:val="32"/>
        </w:rPr>
        <w:t>年财政拨款收支预算总体情况说明</w:t>
      </w:r>
    </w:p>
    <w:p>
      <w:pPr>
        <w:pStyle w:val="13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760" w:firstLineChars="200"/>
        <w:jc w:val="both"/>
        <w:textAlignment w:val="auto"/>
        <w:rPr>
          <w:rFonts w:ascii="仿宋" w:hAnsi="仿宋" w:eastAsia="仿宋" w:cs="仿宋"/>
          <w:sz w:val="32"/>
          <w:szCs w:val="32"/>
          <w:lang w:val="en-US"/>
        </w:rPr>
      </w:pPr>
      <w:r>
        <w:rPr>
          <w:rFonts w:hint="eastAsia" w:ascii="仿宋" w:hAnsi="仿宋" w:eastAsia="仿宋" w:cs="仿宋"/>
          <w:sz w:val="32"/>
          <w:szCs w:val="32"/>
          <w:lang w:val="en-US"/>
        </w:rPr>
        <w:t>石台县信访</w:t>
      </w:r>
      <w:r>
        <w:rPr>
          <w:rFonts w:hint="eastAsia" w:ascii="仿宋" w:hAnsi="仿宋" w:eastAsia="仿宋" w:cs="仿宋"/>
          <w:sz w:val="32"/>
          <w:szCs w:val="32"/>
        </w:rPr>
        <w:t>局20</w:t>
      </w:r>
      <w:r>
        <w:rPr>
          <w:rFonts w:hint="eastAsia" w:ascii="仿宋" w:hAnsi="仿宋" w:eastAsia="仿宋" w:cs="仿宋"/>
          <w:sz w:val="32"/>
          <w:szCs w:val="32"/>
          <w:lang w:val="en-US"/>
        </w:rPr>
        <w:t>2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</w:t>
      </w:r>
      <w:r>
        <w:rPr>
          <w:rFonts w:hint="eastAsia" w:ascii="仿宋" w:hAnsi="仿宋" w:eastAsia="仿宋" w:cs="仿宋"/>
          <w:sz w:val="32"/>
          <w:szCs w:val="32"/>
        </w:rPr>
        <w:t>年财政拨款收支预算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96.19</w:t>
      </w:r>
      <w:r>
        <w:rPr>
          <w:rFonts w:hint="eastAsia" w:ascii="仿宋" w:hAnsi="仿宋" w:eastAsia="仿宋" w:cs="仿宋"/>
          <w:sz w:val="32"/>
          <w:szCs w:val="32"/>
        </w:rPr>
        <w:t>万元。收入按资金来源分为：一般公共预算拨款</w:t>
      </w:r>
      <w:r>
        <w:rPr>
          <w:rFonts w:hint="eastAsia" w:ascii="仿宋" w:hAnsi="仿宋" w:eastAsia="仿宋" w:cs="仿宋"/>
          <w:sz w:val="32"/>
          <w:szCs w:val="32"/>
          <w:lang w:val="en-US" w:eastAsia="zh-CN" w:bidi="en-US"/>
        </w:rPr>
        <w:t>96.19</w:t>
      </w:r>
      <w:r>
        <w:rPr>
          <w:rFonts w:hint="eastAsia" w:ascii="仿宋" w:hAnsi="仿宋" w:eastAsia="仿宋" w:cs="仿宋"/>
          <w:sz w:val="32"/>
          <w:szCs w:val="32"/>
        </w:rPr>
        <w:t>万元；按资金年度分为：当年财政拨款收入</w:t>
      </w:r>
      <w:r>
        <w:rPr>
          <w:rFonts w:hint="eastAsia" w:ascii="仿宋" w:hAnsi="仿宋" w:eastAsia="仿宋" w:cs="仿宋"/>
          <w:sz w:val="32"/>
          <w:szCs w:val="32"/>
          <w:lang w:val="en-US" w:eastAsia="zh-CN" w:bidi="en-US"/>
        </w:rPr>
        <w:t>96.19</w:t>
      </w:r>
      <w:r>
        <w:rPr>
          <w:rFonts w:hint="eastAsia" w:ascii="仿宋" w:hAnsi="仿宋" w:eastAsia="仿宋" w:cs="仿宋"/>
          <w:sz w:val="32"/>
          <w:szCs w:val="32"/>
        </w:rPr>
        <w:t>万元。支出按功能分类分为：一般公共服务支出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73.74</w:t>
      </w:r>
      <w:r>
        <w:rPr>
          <w:rFonts w:hint="eastAsia" w:ascii="仿宋" w:hAnsi="仿宋" w:eastAsia="仿宋" w:cs="仿宋"/>
          <w:sz w:val="32"/>
          <w:szCs w:val="32"/>
          <w:lang w:val="en-US"/>
        </w:rPr>
        <w:t>万元，占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76.7</w:t>
      </w:r>
      <w:r>
        <w:rPr>
          <w:rFonts w:hint="eastAsia" w:ascii="仿宋" w:hAnsi="仿宋" w:eastAsia="仿宋" w:cs="仿宋"/>
          <w:sz w:val="32"/>
          <w:szCs w:val="32"/>
          <w:lang w:val="en-US"/>
        </w:rPr>
        <w:t>%；</w:t>
      </w:r>
      <w:r>
        <w:rPr>
          <w:rFonts w:hint="eastAsia" w:ascii="仿宋" w:hAnsi="仿宋" w:eastAsia="仿宋" w:cs="仿宋"/>
          <w:sz w:val="32"/>
          <w:szCs w:val="32"/>
        </w:rPr>
        <w:t>社会保障和就业支出</w:t>
      </w:r>
      <w:r>
        <w:rPr>
          <w:rFonts w:hint="eastAsia" w:ascii="仿宋" w:hAnsi="仿宋" w:eastAsia="仿宋" w:cs="仿宋"/>
          <w:sz w:val="32"/>
          <w:szCs w:val="32"/>
          <w:lang w:val="en-US" w:eastAsia="zh-CN" w:bidi="en-US"/>
        </w:rPr>
        <w:t>12.06</w:t>
      </w:r>
      <w:r>
        <w:rPr>
          <w:rFonts w:hint="eastAsia" w:ascii="仿宋" w:hAnsi="仿宋" w:eastAsia="仿宋" w:cs="仿宋"/>
          <w:sz w:val="32"/>
          <w:szCs w:val="32"/>
        </w:rPr>
        <w:t>万元，占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12.5</w:t>
      </w:r>
      <w:r>
        <w:rPr>
          <w:rFonts w:hint="eastAsia" w:ascii="仿宋" w:hAnsi="仿宋" w:eastAsia="仿宋" w:cs="仿宋"/>
          <w:sz w:val="32"/>
          <w:szCs w:val="32"/>
        </w:rPr>
        <w:t>%;卫生健康支出</w:t>
      </w:r>
      <w:r>
        <w:rPr>
          <w:rFonts w:hint="eastAsia" w:ascii="仿宋" w:hAnsi="仿宋" w:eastAsia="仿宋" w:cs="仿宋"/>
          <w:sz w:val="32"/>
          <w:szCs w:val="32"/>
          <w:lang w:val="en-US" w:eastAsia="zh-CN" w:bidi="en-US"/>
        </w:rPr>
        <w:t>2.59</w:t>
      </w:r>
      <w:r>
        <w:rPr>
          <w:rFonts w:hint="eastAsia" w:ascii="仿宋" w:hAnsi="仿宋" w:eastAsia="仿宋" w:cs="仿宋"/>
          <w:sz w:val="32"/>
          <w:szCs w:val="32"/>
        </w:rPr>
        <w:t>万元，占</w:t>
      </w:r>
      <w:r>
        <w:rPr>
          <w:rFonts w:hint="eastAsia" w:ascii="仿宋" w:hAnsi="仿宋" w:eastAsia="仿宋" w:cs="仿宋"/>
          <w:sz w:val="32"/>
          <w:szCs w:val="32"/>
          <w:lang w:val="en-US" w:eastAsia="zh-CN" w:bidi="en-US"/>
        </w:rPr>
        <w:t>2.7</w:t>
      </w:r>
      <w:r>
        <w:rPr>
          <w:rFonts w:hint="eastAsia" w:ascii="仿宋" w:hAnsi="仿宋" w:eastAsia="仿宋" w:cs="仿宋"/>
          <w:sz w:val="32"/>
          <w:szCs w:val="32"/>
        </w:rPr>
        <w:t>%;住房保障支出</w:t>
      </w:r>
      <w:r>
        <w:rPr>
          <w:rFonts w:hint="eastAsia" w:ascii="仿宋" w:hAnsi="仿宋" w:eastAsia="仿宋" w:cs="仿宋"/>
          <w:sz w:val="32"/>
          <w:szCs w:val="32"/>
          <w:lang w:val="en-US" w:eastAsia="zh-CN" w:bidi="en-US"/>
        </w:rPr>
        <w:t>7.8</w:t>
      </w:r>
      <w:r>
        <w:rPr>
          <w:rFonts w:hint="eastAsia" w:ascii="仿宋" w:hAnsi="仿宋" w:eastAsia="仿宋" w:cs="仿宋"/>
          <w:sz w:val="32"/>
          <w:szCs w:val="32"/>
        </w:rPr>
        <w:t>万元，占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8.1</w:t>
      </w:r>
      <w:r>
        <w:rPr>
          <w:rFonts w:hint="eastAsia" w:ascii="仿宋" w:hAnsi="仿宋" w:eastAsia="仿宋" w:cs="仿宋"/>
          <w:sz w:val="32"/>
          <w:szCs w:val="32"/>
        </w:rPr>
        <w:t>%。</w:t>
      </w:r>
    </w:p>
    <w:p>
      <w:pPr>
        <w:pStyle w:val="11"/>
        <w:keepNext w:val="0"/>
        <w:keepLines w:val="0"/>
        <w:pageBreakBefore w:val="0"/>
        <w:widowControl w:val="0"/>
        <w:shd w:val="clear" w:color="auto" w:fill="auto"/>
        <w:tabs>
          <w:tab w:val="left" w:pos="1473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jc w:val="both"/>
        <w:textAlignment w:val="auto"/>
        <w:rPr>
          <w:rFonts w:ascii="仿宋" w:hAnsi="仿宋" w:eastAsia="仿宋" w:cs="仿宋"/>
          <w:sz w:val="32"/>
          <w:szCs w:val="32"/>
        </w:rPr>
      </w:pPr>
      <w:r>
        <w:rPr>
          <w:rStyle w:val="42"/>
          <w:rFonts w:hint="eastAsia" w:ascii="仿宋" w:hAnsi="仿宋" w:eastAsia="仿宋" w:cs="仿宋"/>
          <w:b w:val="0"/>
          <w:bCs w:val="0"/>
          <w:sz w:val="32"/>
          <w:szCs w:val="32"/>
        </w:rPr>
        <w:t>二、</w:t>
      </w:r>
      <w:r>
        <w:rPr>
          <w:rStyle w:val="42"/>
          <w:rFonts w:hint="eastAsia" w:ascii="仿宋" w:hAnsi="仿宋" w:eastAsia="仿宋" w:cs="仿宋"/>
          <w:b w:val="0"/>
          <w:bCs w:val="0"/>
          <w:sz w:val="32"/>
          <w:szCs w:val="32"/>
        </w:rPr>
        <w:tab/>
      </w:r>
      <w:r>
        <w:rPr>
          <w:rFonts w:hint="eastAsia" w:ascii="仿宋" w:hAnsi="仿宋" w:eastAsia="仿宋" w:cs="仿宋"/>
          <w:sz w:val="32"/>
          <w:szCs w:val="32"/>
        </w:rPr>
        <w:t>关于20</w:t>
      </w:r>
      <w:r>
        <w:rPr>
          <w:rFonts w:hint="eastAsia" w:ascii="仿宋" w:hAnsi="仿宋" w:eastAsia="仿宋" w:cs="仿宋"/>
          <w:sz w:val="32"/>
          <w:szCs w:val="32"/>
          <w:lang w:val="en-US"/>
        </w:rPr>
        <w:t>2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</w:t>
      </w:r>
      <w:r>
        <w:rPr>
          <w:rFonts w:hint="eastAsia" w:ascii="仿宋" w:hAnsi="仿宋" w:eastAsia="仿宋" w:cs="仿宋"/>
          <w:sz w:val="32"/>
          <w:szCs w:val="32"/>
        </w:rPr>
        <w:t>年一般公共预算拨款情况说明</w:t>
      </w:r>
    </w:p>
    <w:p>
      <w:pPr>
        <w:pStyle w:val="44"/>
        <w:keepNext w:val="0"/>
        <w:keepLines w:val="0"/>
        <w:pageBreakBefore w:val="0"/>
        <w:widowControl w:val="0"/>
        <w:shd w:val="clear" w:color="auto" w:fill="auto"/>
        <w:tabs>
          <w:tab w:val="left" w:pos="1573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（一）一般公共预算拨款规模变化情况。</w:t>
      </w:r>
    </w:p>
    <w:p>
      <w:pPr>
        <w:pStyle w:val="13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760" w:firstLineChars="200"/>
        <w:textAlignment w:val="auto"/>
        <w:rPr>
          <w:rFonts w:ascii="仿宋" w:hAnsi="仿宋" w:eastAsia="仿宋" w:cs="仿宋"/>
          <w:sz w:val="32"/>
          <w:szCs w:val="32"/>
          <w:lang w:val="en-US"/>
        </w:rPr>
      </w:pPr>
      <w:r>
        <w:rPr>
          <w:rFonts w:hint="eastAsia" w:ascii="仿宋" w:hAnsi="仿宋" w:eastAsia="仿宋" w:cs="仿宋"/>
          <w:sz w:val="32"/>
          <w:szCs w:val="32"/>
        </w:rPr>
        <w:t>石台县信访局20</w:t>
      </w:r>
      <w:r>
        <w:rPr>
          <w:rFonts w:hint="eastAsia" w:ascii="仿宋" w:hAnsi="仿宋" w:eastAsia="仿宋" w:cs="仿宋"/>
          <w:sz w:val="32"/>
          <w:szCs w:val="32"/>
          <w:lang w:val="en-US"/>
        </w:rPr>
        <w:t>2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</w:t>
      </w:r>
      <w:r>
        <w:rPr>
          <w:rFonts w:hint="eastAsia" w:ascii="仿宋" w:hAnsi="仿宋" w:eastAsia="仿宋" w:cs="仿宋"/>
          <w:sz w:val="32"/>
          <w:szCs w:val="32"/>
        </w:rPr>
        <w:t>年一般公共预算拨款</w:t>
      </w:r>
      <w:r>
        <w:rPr>
          <w:rFonts w:hint="eastAsia" w:ascii="仿宋" w:hAnsi="仿宋" w:eastAsia="仿宋" w:cs="仿宋"/>
          <w:sz w:val="32"/>
          <w:szCs w:val="32"/>
          <w:lang w:val="en-US" w:eastAsia="zh-CN" w:bidi="en-US"/>
        </w:rPr>
        <w:t>96.19</w:t>
      </w:r>
      <w:r>
        <w:rPr>
          <w:rFonts w:hint="eastAsia" w:ascii="仿宋" w:hAnsi="仿宋" w:eastAsia="仿宋" w:cs="仿宋"/>
          <w:sz w:val="32"/>
          <w:szCs w:val="32"/>
        </w:rPr>
        <w:t>万元，比20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</w:t>
      </w:r>
      <w:r>
        <w:rPr>
          <w:rFonts w:hint="eastAsia" w:ascii="仿宋" w:hAnsi="仿宋" w:eastAsia="仿宋" w:cs="仿宋"/>
          <w:sz w:val="32"/>
          <w:szCs w:val="32"/>
        </w:rPr>
        <w:t>年预算拨款增加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19.49</w:t>
      </w:r>
      <w:r>
        <w:rPr>
          <w:rFonts w:hint="eastAsia" w:ascii="仿宋" w:hAnsi="仿宋" w:eastAsia="仿宋" w:cs="仿宋"/>
          <w:sz w:val="32"/>
          <w:szCs w:val="32"/>
        </w:rPr>
        <w:t>万元，增长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25</w:t>
      </w:r>
      <w:r>
        <w:rPr>
          <w:rFonts w:hint="eastAsia" w:ascii="仿宋" w:hAnsi="仿宋" w:eastAsia="仿宋" w:cs="仿宋"/>
          <w:sz w:val="32"/>
          <w:szCs w:val="32"/>
        </w:rPr>
        <w:t>%,增长原因主要是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增加一名公务员，</w:t>
      </w:r>
      <w:r>
        <w:rPr>
          <w:rFonts w:hint="eastAsia" w:ascii="仿宋" w:hAnsi="仿宋" w:eastAsia="仿宋" w:cs="仿宋"/>
          <w:sz w:val="32"/>
          <w:szCs w:val="32"/>
        </w:rPr>
        <w:t>工资正常晋升增资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,养老、医疗保险、公积金上涨</w:t>
      </w:r>
      <w:r>
        <w:rPr>
          <w:rFonts w:hint="eastAsia" w:ascii="仿宋" w:hAnsi="仿宋" w:eastAsia="仿宋" w:cs="仿宋"/>
          <w:sz w:val="32"/>
          <w:szCs w:val="32"/>
        </w:rPr>
        <w:t>。</w:t>
      </w:r>
    </w:p>
    <w:p>
      <w:pPr>
        <w:pStyle w:val="44"/>
        <w:keepNext w:val="0"/>
        <w:keepLines w:val="0"/>
        <w:pageBreakBefore w:val="0"/>
        <w:widowControl w:val="0"/>
        <w:shd w:val="clear" w:color="auto" w:fill="auto"/>
        <w:tabs>
          <w:tab w:val="left" w:pos="1578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（二）一般公共预算拨款结构情况。</w:t>
      </w:r>
    </w:p>
    <w:p>
      <w:pPr>
        <w:pStyle w:val="13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760" w:firstLineChars="200"/>
        <w:jc w:val="both"/>
        <w:textAlignment w:val="auto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一般公共服务支出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73.74</w:t>
      </w:r>
      <w:r>
        <w:rPr>
          <w:rFonts w:hint="eastAsia" w:ascii="仿宋" w:hAnsi="仿宋" w:eastAsia="仿宋" w:cs="仿宋"/>
          <w:sz w:val="32"/>
          <w:szCs w:val="32"/>
          <w:lang w:val="en-US"/>
        </w:rPr>
        <w:t>万元，占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76.7</w:t>
      </w:r>
      <w:r>
        <w:rPr>
          <w:rFonts w:hint="eastAsia" w:ascii="仿宋" w:hAnsi="仿宋" w:eastAsia="仿宋" w:cs="仿宋"/>
          <w:sz w:val="32"/>
          <w:szCs w:val="32"/>
          <w:lang w:val="en-US"/>
        </w:rPr>
        <w:t>%；</w:t>
      </w:r>
      <w:r>
        <w:rPr>
          <w:rFonts w:hint="eastAsia" w:ascii="仿宋" w:hAnsi="仿宋" w:eastAsia="仿宋" w:cs="仿宋"/>
          <w:sz w:val="32"/>
          <w:szCs w:val="32"/>
        </w:rPr>
        <w:t>社会保障和就业支出</w:t>
      </w:r>
      <w:r>
        <w:rPr>
          <w:rFonts w:hint="eastAsia" w:ascii="仿宋" w:hAnsi="仿宋" w:eastAsia="仿宋" w:cs="仿宋"/>
          <w:sz w:val="32"/>
          <w:szCs w:val="32"/>
          <w:lang w:val="en-US" w:eastAsia="zh-CN" w:bidi="en-US"/>
        </w:rPr>
        <w:t>12.06</w:t>
      </w:r>
      <w:r>
        <w:rPr>
          <w:rFonts w:hint="eastAsia" w:ascii="仿宋" w:hAnsi="仿宋" w:eastAsia="仿宋" w:cs="仿宋"/>
          <w:sz w:val="32"/>
          <w:szCs w:val="32"/>
        </w:rPr>
        <w:t>万元，占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12.5</w:t>
      </w:r>
      <w:r>
        <w:rPr>
          <w:rFonts w:hint="eastAsia" w:ascii="仿宋" w:hAnsi="仿宋" w:eastAsia="仿宋" w:cs="仿宋"/>
          <w:sz w:val="32"/>
          <w:szCs w:val="32"/>
        </w:rPr>
        <w:t>%;卫生健康支出</w:t>
      </w:r>
      <w:r>
        <w:rPr>
          <w:rFonts w:hint="eastAsia" w:ascii="仿宋" w:hAnsi="仿宋" w:eastAsia="仿宋" w:cs="仿宋"/>
          <w:sz w:val="32"/>
          <w:szCs w:val="32"/>
          <w:lang w:val="en-US" w:eastAsia="zh-CN" w:bidi="en-US"/>
        </w:rPr>
        <w:t>2.59</w:t>
      </w:r>
      <w:r>
        <w:rPr>
          <w:rFonts w:hint="eastAsia" w:ascii="仿宋" w:hAnsi="仿宋" w:eastAsia="仿宋" w:cs="仿宋"/>
          <w:sz w:val="32"/>
          <w:szCs w:val="32"/>
        </w:rPr>
        <w:t>万元，占</w:t>
      </w:r>
      <w:r>
        <w:rPr>
          <w:rFonts w:hint="eastAsia" w:ascii="仿宋" w:hAnsi="仿宋" w:eastAsia="仿宋" w:cs="仿宋"/>
          <w:sz w:val="32"/>
          <w:szCs w:val="32"/>
          <w:lang w:val="en-US" w:bidi="en-US"/>
        </w:rPr>
        <w:t>2.7</w:t>
      </w:r>
      <w:r>
        <w:rPr>
          <w:rFonts w:hint="eastAsia" w:ascii="仿宋" w:hAnsi="仿宋" w:eastAsia="仿宋" w:cs="仿宋"/>
          <w:sz w:val="32"/>
          <w:szCs w:val="32"/>
        </w:rPr>
        <w:t>%;住房保障支出</w:t>
      </w:r>
      <w:r>
        <w:rPr>
          <w:rFonts w:hint="eastAsia" w:ascii="仿宋" w:hAnsi="仿宋" w:eastAsia="仿宋" w:cs="仿宋"/>
          <w:sz w:val="32"/>
          <w:szCs w:val="32"/>
          <w:lang w:val="en-US" w:eastAsia="zh-CN" w:bidi="en-US"/>
        </w:rPr>
        <w:t>7.8</w:t>
      </w:r>
      <w:r>
        <w:rPr>
          <w:rFonts w:hint="eastAsia" w:ascii="仿宋" w:hAnsi="仿宋" w:eastAsia="仿宋" w:cs="仿宋"/>
          <w:sz w:val="32"/>
          <w:szCs w:val="32"/>
        </w:rPr>
        <w:t>万元，占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8.1</w:t>
      </w:r>
      <w:r>
        <w:rPr>
          <w:rFonts w:hint="eastAsia" w:ascii="仿宋" w:hAnsi="仿宋" w:eastAsia="仿宋" w:cs="仿宋"/>
          <w:sz w:val="32"/>
          <w:szCs w:val="32"/>
        </w:rPr>
        <w:t>%。</w:t>
      </w:r>
    </w:p>
    <w:p>
      <w:pPr>
        <w:pStyle w:val="44"/>
        <w:keepNext w:val="0"/>
        <w:keepLines w:val="0"/>
        <w:pageBreakBefore w:val="0"/>
        <w:widowControl w:val="0"/>
        <w:numPr>
          <w:ilvl w:val="0"/>
          <w:numId w:val="3"/>
        </w:numPr>
        <w:shd w:val="clear" w:color="auto" w:fill="auto"/>
        <w:tabs>
          <w:tab w:val="left" w:pos="1578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一般公共预算拨款具体使用情况。</w:t>
      </w:r>
    </w:p>
    <w:p>
      <w:pPr>
        <w:pStyle w:val="44"/>
        <w:keepNext w:val="0"/>
        <w:keepLines w:val="0"/>
        <w:pageBreakBefore w:val="0"/>
        <w:widowControl w:val="0"/>
        <w:shd w:val="clear" w:color="auto" w:fill="auto"/>
        <w:tabs>
          <w:tab w:val="left" w:pos="1578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/>
        <w:jc w:val="both"/>
        <w:textAlignment w:val="auto"/>
        <w:rPr>
          <w:rFonts w:ascii="仿宋" w:hAnsi="仿宋" w:eastAsia="仿宋" w:cs="仿宋"/>
          <w:sz w:val="32"/>
          <w:szCs w:val="32"/>
          <w:lang w:val="en-US"/>
        </w:rPr>
      </w:pPr>
      <w:r>
        <w:rPr>
          <w:rFonts w:hint="eastAsia" w:ascii="仿宋" w:hAnsi="仿宋" w:eastAsia="仿宋" w:cs="仿宋"/>
          <w:sz w:val="32"/>
          <w:szCs w:val="32"/>
          <w:lang w:val="en-US"/>
        </w:rPr>
        <w:t xml:space="preserve">     </w:t>
      </w:r>
      <w:r>
        <w:rPr>
          <w:rStyle w:val="15"/>
          <w:rFonts w:hint="eastAsia" w:ascii="仿宋" w:hAnsi="仿宋" w:eastAsia="仿宋" w:cs="仿宋"/>
          <w:sz w:val="32"/>
          <w:szCs w:val="32"/>
          <w:lang w:val="en-US" w:bidi="en-US"/>
        </w:rPr>
        <w:t>1.</w:t>
      </w:r>
      <w:r>
        <w:rPr>
          <w:rStyle w:val="15"/>
          <w:rFonts w:hint="eastAsia" w:ascii="仿宋" w:hAnsi="仿宋" w:eastAsia="仿宋" w:cs="仿宋"/>
          <w:sz w:val="32"/>
          <w:szCs w:val="32"/>
        </w:rPr>
        <w:t>“一般公共服务支出</w:t>
      </w:r>
      <w:r>
        <w:rPr>
          <w:rStyle w:val="15"/>
          <w:rFonts w:hint="eastAsia" w:ascii="仿宋" w:hAnsi="仿宋" w:eastAsia="仿宋" w:cs="仿宋"/>
          <w:sz w:val="32"/>
          <w:szCs w:val="32"/>
          <w:lang w:val="en-US"/>
        </w:rPr>
        <w:t>(类)政府办公厅（室）及相关机构事务（款）信访事务（项）</w:t>
      </w:r>
      <w:r>
        <w:rPr>
          <w:rStyle w:val="15"/>
          <w:rFonts w:hint="eastAsia" w:ascii="仿宋" w:hAnsi="仿宋" w:eastAsia="仿宋" w:cs="仿宋"/>
          <w:sz w:val="32"/>
          <w:szCs w:val="32"/>
        </w:rPr>
        <w:t>”</w:t>
      </w:r>
      <w:r>
        <w:rPr>
          <w:rStyle w:val="15"/>
          <w:rFonts w:hint="eastAsia" w:ascii="仿宋" w:hAnsi="仿宋" w:eastAsia="仿宋" w:cs="仿宋"/>
          <w:b w:val="0"/>
          <w:bCs w:val="0"/>
          <w:sz w:val="32"/>
          <w:szCs w:val="32"/>
          <w:lang w:val="en-US"/>
        </w:rPr>
        <w:t>2021年预算73.74万元，比2020年预算增加12.14万元，增加19.7%，增加原因主要是增加一名公务员，工资正常晋升。</w:t>
      </w:r>
    </w:p>
    <w:p>
      <w:pPr>
        <w:pStyle w:val="13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763" w:firstLineChars="200"/>
        <w:jc w:val="both"/>
        <w:textAlignment w:val="auto"/>
        <w:rPr>
          <w:rFonts w:ascii="仿宋" w:hAnsi="仿宋" w:eastAsia="仿宋" w:cs="仿宋"/>
          <w:sz w:val="32"/>
          <w:szCs w:val="32"/>
        </w:rPr>
      </w:pPr>
      <w:r>
        <w:rPr>
          <w:rStyle w:val="15"/>
          <w:rFonts w:hint="eastAsia" w:ascii="仿宋" w:hAnsi="仿宋" w:eastAsia="仿宋" w:cs="仿宋"/>
          <w:sz w:val="32"/>
          <w:szCs w:val="32"/>
          <w:lang w:val="en-US" w:bidi="en-US"/>
        </w:rPr>
        <w:t xml:space="preserve">2. </w:t>
      </w:r>
      <w:r>
        <w:rPr>
          <w:rStyle w:val="15"/>
          <w:rFonts w:hint="eastAsia" w:ascii="仿宋" w:hAnsi="仿宋" w:eastAsia="仿宋" w:cs="仿宋"/>
          <w:sz w:val="32"/>
          <w:szCs w:val="32"/>
        </w:rPr>
        <w:t xml:space="preserve">“社会保障和就业支出（类）行政事业单位离退休（款）机关事业单位基本养老保险缴费支出（项）” </w:t>
      </w:r>
      <w:r>
        <w:rPr>
          <w:rFonts w:hint="eastAsia" w:ascii="仿宋" w:hAnsi="仿宋" w:eastAsia="仿宋" w:cs="仿宋"/>
          <w:sz w:val="32"/>
          <w:szCs w:val="32"/>
        </w:rPr>
        <w:t>20</w:t>
      </w:r>
      <w:r>
        <w:rPr>
          <w:rFonts w:hint="eastAsia" w:ascii="仿宋" w:hAnsi="仿宋" w:eastAsia="仿宋" w:cs="仿宋"/>
          <w:sz w:val="32"/>
          <w:szCs w:val="32"/>
          <w:lang w:val="en-US"/>
        </w:rPr>
        <w:t>2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</w:t>
      </w:r>
      <w:r>
        <w:rPr>
          <w:rFonts w:hint="eastAsia" w:ascii="仿宋" w:hAnsi="仿宋" w:eastAsia="仿宋" w:cs="仿宋"/>
          <w:sz w:val="32"/>
          <w:szCs w:val="32"/>
        </w:rPr>
        <w:t>年预算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5.99</w:t>
      </w:r>
      <w:r>
        <w:rPr>
          <w:rFonts w:hint="eastAsia" w:ascii="仿宋" w:hAnsi="仿宋" w:eastAsia="仿宋" w:cs="仿宋"/>
          <w:sz w:val="32"/>
          <w:szCs w:val="32"/>
        </w:rPr>
        <w:t>万元，比2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020</w:t>
      </w:r>
      <w:r>
        <w:rPr>
          <w:rFonts w:hint="eastAsia" w:ascii="仿宋" w:hAnsi="仿宋" w:eastAsia="仿宋" w:cs="仿宋"/>
          <w:sz w:val="32"/>
          <w:szCs w:val="32"/>
        </w:rPr>
        <w:t>年预算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增加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1.19</w:t>
      </w:r>
      <w:r>
        <w:rPr>
          <w:rFonts w:hint="eastAsia" w:ascii="仿宋" w:hAnsi="仿宋" w:eastAsia="仿宋" w:cs="仿宋"/>
          <w:sz w:val="32"/>
          <w:szCs w:val="32"/>
        </w:rPr>
        <w:t>万元，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增加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24.79</w:t>
      </w:r>
      <w:r>
        <w:rPr>
          <w:rFonts w:hint="eastAsia" w:ascii="仿宋" w:hAnsi="仿宋" w:eastAsia="仿宋" w:cs="仿宋"/>
          <w:sz w:val="32"/>
          <w:szCs w:val="32"/>
        </w:rPr>
        <w:t>%,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增加</w:t>
      </w:r>
      <w:r>
        <w:rPr>
          <w:rFonts w:hint="eastAsia" w:ascii="仿宋" w:hAnsi="仿宋" w:eastAsia="仿宋" w:cs="仿宋"/>
          <w:sz w:val="32"/>
          <w:szCs w:val="32"/>
        </w:rPr>
        <w:t>原因主要是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增加一名公务员，工资正常晋升，养老保险上涨</w:t>
      </w:r>
      <w:r>
        <w:rPr>
          <w:rFonts w:hint="eastAsia" w:ascii="仿宋" w:hAnsi="仿宋" w:eastAsia="仿宋" w:cs="仿宋"/>
          <w:sz w:val="32"/>
          <w:szCs w:val="32"/>
        </w:rPr>
        <w:t>。</w:t>
      </w:r>
    </w:p>
    <w:p>
      <w:pPr>
        <w:pStyle w:val="13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763" w:firstLineChars="200"/>
        <w:jc w:val="both"/>
        <w:textAlignment w:val="auto"/>
        <w:rPr>
          <w:rStyle w:val="15"/>
          <w:rFonts w:hint="eastAsia" w:ascii="仿宋" w:hAnsi="仿宋" w:eastAsia="仿宋" w:cs="仿宋"/>
          <w:b w:val="0"/>
          <w:bCs w:val="0"/>
          <w:sz w:val="32"/>
          <w:szCs w:val="32"/>
          <w:lang w:val="en-US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/>
        </w:rPr>
        <w:t>3</w:t>
      </w: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.</w:t>
      </w:r>
      <w:r>
        <w:rPr>
          <w:rStyle w:val="15"/>
          <w:rFonts w:hint="eastAsia" w:ascii="仿宋" w:hAnsi="仿宋" w:eastAsia="仿宋" w:cs="仿宋"/>
          <w:sz w:val="32"/>
          <w:szCs w:val="32"/>
          <w:lang w:val="en-US" w:bidi="en-US"/>
        </w:rPr>
        <w:t xml:space="preserve"> </w:t>
      </w:r>
      <w:r>
        <w:rPr>
          <w:rStyle w:val="15"/>
          <w:rFonts w:hint="eastAsia" w:ascii="仿宋" w:hAnsi="仿宋" w:eastAsia="仿宋" w:cs="仿宋"/>
          <w:sz w:val="32"/>
          <w:szCs w:val="32"/>
        </w:rPr>
        <w:t>“社会保障和就业支出（类）退役安置（款）退役士兵安置（项）</w:t>
      </w:r>
      <w:r>
        <w:rPr>
          <w:rStyle w:val="15"/>
          <w:rFonts w:hint="eastAsia" w:ascii="仿宋" w:hAnsi="仿宋" w:eastAsia="仿宋" w:cs="仿宋"/>
          <w:b w:val="0"/>
          <w:bCs w:val="0"/>
          <w:sz w:val="32"/>
          <w:szCs w:val="32"/>
          <w:lang w:val="en-US"/>
        </w:rPr>
        <w:t>2021年预算6万元，比2020年预算增加了1.2万元，增长25%，增长原因主要是</w:t>
      </w:r>
      <w:r>
        <w:rPr>
          <w:rStyle w:val="15"/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退役士官工资、公积金上涨</w:t>
      </w:r>
      <w:r>
        <w:rPr>
          <w:rStyle w:val="15"/>
          <w:rFonts w:hint="eastAsia" w:ascii="仿宋" w:hAnsi="仿宋" w:eastAsia="仿宋" w:cs="仿宋"/>
          <w:b w:val="0"/>
          <w:bCs w:val="0"/>
          <w:sz w:val="32"/>
          <w:szCs w:val="32"/>
          <w:lang w:val="en-US"/>
        </w:rPr>
        <w:t>。</w:t>
      </w:r>
    </w:p>
    <w:p>
      <w:pPr>
        <w:pStyle w:val="13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763" w:firstLineChars="200"/>
        <w:jc w:val="both"/>
        <w:textAlignment w:val="auto"/>
        <w:rPr>
          <w:rStyle w:val="15"/>
          <w:rFonts w:hint="eastAsia" w:ascii="仿宋" w:hAnsi="仿宋" w:eastAsia="仿宋" w:cs="仿宋"/>
          <w:b w:val="0"/>
          <w:bCs w:val="0"/>
          <w:sz w:val="32"/>
          <w:szCs w:val="32"/>
          <w:lang w:val="en-US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4.</w:t>
      </w:r>
      <w:r>
        <w:rPr>
          <w:rStyle w:val="15"/>
          <w:rFonts w:hint="eastAsia" w:ascii="仿宋" w:hAnsi="仿宋" w:eastAsia="仿宋" w:cs="仿宋"/>
          <w:sz w:val="32"/>
          <w:szCs w:val="32"/>
          <w:lang w:val="en-US" w:bidi="en-US"/>
        </w:rPr>
        <w:t xml:space="preserve"> </w:t>
      </w:r>
      <w:r>
        <w:rPr>
          <w:rStyle w:val="15"/>
          <w:rFonts w:hint="eastAsia" w:ascii="仿宋" w:hAnsi="仿宋" w:eastAsia="仿宋" w:cs="仿宋"/>
          <w:sz w:val="32"/>
          <w:szCs w:val="32"/>
        </w:rPr>
        <w:t>“社会保障和就业支出（类）其他社会保障和就业支出（款）其他社会保障和就业支出（项）</w:t>
      </w:r>
      <w:r>
        <w:rPr>
          <w:rStyle w:val="15"/>
          <w:rFonts w:hint="eastAsia" w:ascii="仿宋" w:hAnsi="仿宋" w:eastAsia="仿宋" w:cs="仿宋"/>
          <w:b w:val="0"/>
          <w:bCs w:val="0"/>
          <w:sz w:val="32"/>
          <w:szCs w:val="32"/>
          <w:lang w:val="en-US"/>
        </w:rPr>
        <w:t>2021年预算0.07万元，比2020年预算增加0.07万元，增加100%，增加原因主要是工伤保险2020年预算纳入“财政对工伤保险基金的补助”科目。</w:t>
      </w:r>
    </w:p>
    <w:p>
      <w:pPr>
        <w:pStyle w:val="13"/>
        <w:keepNext w:val="0"/>
        <w:keepLines w:val="0"/>
        <w:pageBreakBefore w:val="0"/>
        <w:widowControl w:val="0"/>
        <w:shd w:val="clear" w:color="auto" w:fill="auto"/>
        <w:tabs>
          <w:tab w:val="left" w:pos="110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763" w:firstLineChars="200"/>
        <w:jc w:val="both"/>
        <w:textAlignment w:val="auto"/>
        <w:rPr>
          <w:rFonts w:ascii="仿宋" w:hAnsi="仿宋" w:eastAsia="仿宋" w:cs="仿宋"/>
          <w:sz w:val="32"/>
          <w:szCs w:val="32"/>
        </w:rPr>
      </w:pPr>
      <w:r>
        <w:rPr>
          <w:rStyle w:val="15"/>
          <w:rFonts w:hint="eastAsia" w:ascii="仿宋" w:hAnsi="仿宋" w:eastAsia="仿宋" w:cs="仿宋"/>
          <w:sz w:val="32"/>
          <w:szCs w:val="32"/>
          <w:lang w:val="en-US"/>
        </w:rPr>
        <w:t>5.</w:t>
      </w:r>
      <w:r>
        <w:rPr>
          <w:rStyle w:val="15"/>
          <w:rFonts w:hint="eastAsia" w:ascii="仿宋" w:hAnsi="仿宋" w:eastAsia="仿宋" w:cs="仿宋"/>
          <w:sz w:val="32"/>
          <w:szCs w:val="32"/>
        </w:rPr>
        <w:t>“卫生健康支出（类）行政事业单位医疗（款）行政单位医疗（项）</w:t>
      </w:r>
      <w:r>
        <w:rPr>
          <w:rFonts w:hint="eastAsia" w:ascii="仿宋" w:hAnsi="仿宋" w:eastAsia="仿宋" w:cs="仿宋"/>
          <w:sz w:val="32"/>
          <w:szCs w:val="32"/>
        </w:rPr>
        <w:t>” 20</w:t>
      </w:r>
      <w:r>
        <w:rPr>
          <w:rFonts w:hint="eastAsia" w:ascii="仿宋" w:hAnsi="仿宋" w:eastAsia="仿宋" w:cs="仿宋"/>
          <w:sz w:val="32"/>
          <w:szCs w:val="32"/>
          <w:lang w:val="en-US"/>
        </w:rPr>
        <w:t>20</w:t>
      </w:r>
      <w:r>
        <w:rPr>
          <w:rFonts w:hint="eastAsia" w:ascii="仿宋" w:hAnsi="仿宋" w:eastAsia="仿宋" w:cs="仿宋"/>
          <w:sz w:val="32"/>
          <w:szCs w:val="32"/>
        </w:rPr>
        <w:t>年预算</w:t>
      </w:r>
      <w:r>
        <w:rPr>
          <w:rFonts w:hint="eastAsia" w:ascii="仿宋" w:hAnsi="仿宋" w:eastAsia="仿宋" w:cs="仿宋"/>
          <w:sz w:val="32"/>
          <w:szCs w:val="32"/>
          <w:lang w:val="en-US" w:bidi="en-US"/>
        </w:rPr>
        <w:t>2.</w:t>
      </w:r>
      <w:r>
        <w:rPr>
          <w:rFonts w:hint="eastAsia" w:ascii="仿宋" w:hAnsi="仿宋" w:eastAsia="仿宋" w:cs="仿宋"/>
          <w:sz w:val="32"/>
          <w:szCs w:val="32"/>
          <w:lang w:val="en-US" w:eastAsia="zh-CN" w:bidi="en-US"/>
        </w:rPr>
        <w:t>59</w:t>
      </w:r>
      <w:r>
        <w:rPr>
          <w:rFonts w:hint="eastAsia" w:ascii="仿宋" w:hAnsi="仿宋" w:eastAsia="仿宋" w:cs="仿宋"/>
          <w:sz w:val="32"/>
          <w:szCs w:val="32"/>
        </w:rPr>
        <w:t>万元，比20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</w:t>
      </w:r>
      <w:r>
        <w:rPr>
          <w:rFonts w:hint="eastAsia" w:ascii="仿宋" w:hAnsi="仿宋" w:eastAsia="仿宋" w:cs="仿宋"/>
          <w:sz w:val="32"/>
          <w:szCs w:val="32"/>
        </w:rPr>
        <w:t>年预算增加</w:t>
      </w:r>
      <w:r>
        <w:rPr>
          <w:rFonts w:hint="eastAsia" w:ascii="仿宋" w:hAnsi="仿宋" w:eastAsia="仿宋" w:cs="仿宋"/>
          <w:sz w:val="32"/>
          <w:szCs w:val="32"/>
          <w:lang w:val="en-US" w:eastAsia="zh-CN" w:bidi="en-US"/>
        </w:rPr>
        <w:t>0.49</w:t>
      </w:r>
      <w:r>
        <w:rPr>
          <w:rFonts w:hint="eastAsia" w:ascii="仿宋" w:hAnsi="仿宋" w:eastAsia="仿宋" w:cs="仿宋"/>
          <w:sz w:val="32"/>
          <w:szCs w:val="32"/>
        </w:rPr>
        <w:t>万元，增长</w:t>
      </w:r>
      <w:r>
        <w:rPr>
          <w:rFonts w:hint="eastAsia" w:ascii="仿宋" w:hAnsi="仿宋" w:eastAsia="仿宋" w:cs="仿宋"/>
          <w:sz w:val="32"/>
          <w:szCs w:val="32"/>
          <w:lang w:val="en-US" w:eastAsia="zh-CN" w:bidi="en-US"/>
        </w:rPr>
        <w:t>23.3</w:t>
      </w:r>
      <w:r>
        <w:rPr>
          <w:rFonts w:hint="eastAsia" w:ascii="仿宋" w:hAnsi="仿宋" w:eastAsia="仿宋" w:cs="仿宋"/>
          <w:sz w:val="32"/>
          <w:szCs w:val="32"/>
        </w:rPr>
        <w:t>%，增长原因主要是</w:t>
      </w:r>
      <w:r>
        <w:rPr>
          <w:rFonts w:hint="eastAsia" w:ascii="仿宋" w:hAnsi="仿宋" w:eastAsia="仿宋" w:cs="仿宋"/>
          <w:sz w:val="32"/>
          <w:szCs w:val="32"/>
          <w:lang w:val="en-US"/>
        </w:rPr>
        <w:t>工资正常晋升</w:t>
      </w:r>
      <w:r>
        <w:rPr>
          <w:rFonts w:hint="eastAsia" w:ascii="仿宋" w:hAnsi="仿宋" w:eastAsia="仿宋" w:cs="仿宋"/>
          <w:sz w:val="32"/>
          <w:szCs w:val="32"/>
        </w:rPr>
        <w:t>医疗保险缴费增加。</w:t>
      </w:r>
    </w:p>
    <w:p>
      <w:pPr>
        <w:pStyle w:val="13"/>
        <w:keepNext w:val="0"/>
        <w:keepLines w:val="0"/>
        <w:pageBreakBefore w:val="0"/>
        <w:widowControl w:val="0"/>
        <w:shd w:val="clear" w:color="auto" w:fill="auto"/>
        <w:tabs>
          <w:tab w:val="left" w:pos="110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763" w:firstLineChars="200"/>
        <w:jc w:val="both"/>
        <w:textAlignment w:val="auto"/>
        <w:rPr>
          <w:rFonts w:ascii="仿宋" w:hAnsi="仿宋" w:eastAsia="仿宋" w:cs="仿宋"/>
          <w:sz w:val="32"/>
          <w:szCs w:val="32"/>
        </w:rPr>
      </w:pPr>
      <w:r>
        <w:rPr>
          <w:rStyle w:val="15"/>
          <w:rFonts w:hint="eastAsia" w:ascii="仿宋" w:hAnsi="仿宋" w:eastAsia="仿宋" w:cs="仿宋"/>
          <w:sz w:val="32"/>
          <w:szCs w:val="32"/>
          <w:lang w:val="en-US"/>
        </w:rPr>
        <w:t>6.</w:t>
      </w:r>
      <w:r>
        <w:rPr>
          <w:rStyle w:val="15"/>
          <w:rFonts w:hint="eastAsia" w:ascii="仿宋" w:hAnsi="仿宋" w:eastAsia="仿宋" w:cs="仿宋"/>
          <w:sz w:val="32"/>
          <w:szCs w:val="32"/>
        </w:rPr>
        <w:t xml:space="preserve">“住房保障支出（类）住房改革支出（款）住房公积金（项）” </w:t>
      </w:r>
      <w:r>
        <w:rPr>
          <w:rFonts w:hint="eastAsia" w:ascii="仿宋" w:hAnsi="仿宋" w:eastAsia="仿宋" w:cs="仿宋"/>
          <w:sz w:val="32"/>
          <w:szCs w:val="32"/>
        </w:rPr>
        <w:t>20</w:t>
      </w:r>
      <w:r>
        <w:rPr>
          <w:rFonts w:hint="eastAsia" w:ascii="仿宋" w:hAnsi="仿宋" w:eastAsia="仿宋" w:cs="仿宋"/>
          <w:sz w:val="32"/>
          <w:szCs w:val="32"/>
          <w:lang w:val="en-US"/>
        </w:rPr>
        <w:t>2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</w:t>
      </w:r>
      <w:r>
        <w:rPr>
          <w:rFonts w:hint="eastAsia" w:ascii="仿宋" w:hAnsi="仿宋" w:eastAsia="仿宋" w:cs="仿宋"/>
          <w:sz w:val="32"/>
          <w:szCs w:val="32"/>
        </w:rPr>
        <w:t>年预算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7.8</w:t>
      </w:r>
      <w:r>
        <w:rPr>
          <w:rFonts w:hint="eastAsia" w:ascii="仿宋" w:hAnsi="仿宋" w:eastAsia="仿宋" w:cs="仿宋"/>
          <w:sz w:val="32"/>
          <w:szCs w:val="32"/>
        </w:rPr>
        <w:t>万元，比20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</w:t>
      </w:r>
      <w:r>
        <w:rPr>
          <w:rFonts w:hint="eastAsia" w:ascii="仿宋" w:hAnsi="仿宋" w:eastAsia="仿宋" w:cs="仿宋"/>
          <w:sz w:val="32"/>
          <w:szCs w:val="32"/>
        </w:rPr>
        <w:t>年预算增加</w:t>
      </w:r>
      <w:r>
        <w:rPr>
          <w:rFonts w:hint="eastAsia" w:ascii="仿宋" w:hAnsi="仿宋" w:eastAsia="仿宋" w:cs="仿宋"/>
          <w:sz w:val="32"/>
          <w:szCs w:val="32"/>
          <w:lang w:val="en-US" w:eastAsia="zh-CN" w:bidi="en-US"/>
        </w:rPr>
        <w:t>4.2</w:t>
      </w:r>
      <w:r>
        <w:rPr>
          <w:rFonts w:hint="eastAsia" w:ascii="仿宋" w:hAnsi="仿宋" w:eastAsia="仿宋" w:cs="仿宋"/>
          <w:sz w:val="32"/>
          <w:szCs w:val="32"/>
        </w:rPr>
        <w:t>万元，增长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117</w:t>
      </w:r>
      <w:r>
        <w:rPr>
          <w:rFonts w:hint="eastAsia" w:ascii="仿宋" w:hAnsi="仿宋" w:eastAsia="仿宋" w:cs="仿宋"/>
          <w:sz w:val="32"/>
          <w:szCs w:val="32"/>
        </w:rPr>
        <w:t>%，增长原因主要是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新增一名公务员，</w:t>
      </w:r>
      <w:r>
        <w:rPr>
          <w:rFonts w:hint="eastAsia" w:ascii="仿宋" w:hAnsi="仿宋" w:eastAsia="仿宋" w:cs="仿宋"/>
          <w:sz w:val="32"/>
          <w:szCs w:val="32"/>
          <w:lang w:val="en-US"/>
        </w:rPr>
        <w:t>工资正常晋升，公积金基数上调</w:t>
      </w:r>
      <w:r>
        <w:rPr>
          <w:rFonts w:hint="eastAsia" w:ascii="仿宋" w:hAnsi="仿宋" w:eastAsia="仿宋" w:cs="仿宋"/>
          <w:sz w:val="32"/>
          <w:szCs w:val="32"/>
        </w:rPr>
        <w:t>。</w:t>
      </w:r>
    </w:p>
    <w:p>
      <w:pPr>
        <w:pStyle w:val="11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763" w:firstLineChars="200"/>
        <w:jc w:val="both"/>
        <w:textAlignment w:val="auto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三、关于20</w:t>
      </w:r>
      <w:r>
        <w:rPr>
          <w:rFonts w:hint="eastAsia" w:ascii="仿宋" w:hAnsi="仿宋" w:eastAsia="仿宋" w:cs="仿宋"/>
          <w:sz w:val="32"/>
          <w:szCs w:val="32"/>
          <w:lang w:val="en-US"/>
        </w:rPr>
        <w:t>2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</w:t>
      </w:r>
      <w:r>
        <w:rPr>
          <w:rFonts w:hint="eastAsia" w:ascii="仿宋" w:hAnsi="仿宋" w:eastAsia="仿宋" w:cs="仿宋"/>
          <w:sz w:val="32"/>
          <w:szCs w:val="32"/>
        </w:rPr>
        <w:t>年一般公共预算基本支出情况说明</w:t>
      </w:r>
    </w:p>
    <w:p>
      <w:pPr>
        <w:pStyle w:val="13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760" w:firstLineChars="200"/>
        <w:textAlignment w:val="auto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石台县信访局20</w:t>
      </w:r>
      <w:r>
        <w:rPr>
          <w:rFonts w:hint="eastAsia" w:ascii="仿宋" w:hAnsi="仿宋" w:eastAsia="仿宋" w:cs="仿宋"/>
          <w:sz w:val="32"/>
          <w:szCs w:val="32"/>
          <w:lang w:val="en-US"/>
        </w:rPr>
        <w:t>2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</w:t>
      </w:r>
      <w:r>
        <w:rPr>
          <w:rFonts w:hint="eastAsia" w:ascii="仿宋" w:hAnsi="仿宋" w:eastAsia="仿宋" w:cs="仿宋"/>
          <w:sz w:val="32"/>
          <w:szCs w:val="32"/>
        </w:rPr>
        <w:t>年一般公共预算基本支出</w:t>
      </w:r>
      <w:r>
        <w:rPr>
          <w:rFonts w:hint="eastAsia" w:ascii="仿宋" w:hAnsi="仿宋" w:eastAsia="仿宋" w:cs="仿宋"/>
          <w:sz w:val="32"/>
          <w:szCs w:val="32"/>
          <w:lang w:val="en-US" w:eastAsia="zh-CN" w:bidi="en-US"/>
        </w:rPr>
        <w:t>66.19</w:t>
      </w:r>
      <w:r>
        <w:rPr>
          <w:rFonts w:hint="eastAsia" w:ascii="仿宋" w:hAnsi="仿宋" w:eastAsia="仿宋" w:cs="仿宋"/>
          <w:sz w:val="32"/>
          <w:szCs w:val="32"/>
        </w:rPr>
        <w:t>万元，其中：</w:t>
      </w:r>
    </w:p>
    <w:p>
      <w:pPr>
        <w:pStyle w:val="13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760" w:firstLineChars="200"/>
        <w:textAlignment w:val="auto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工资福利支出</w:t>
      </w:r>
      <w:r>
        <w:rPr>
          <w:rFonts w:hint="eastAsia" w:ascii="仿宋" w:hAnsi="仿宋" w:eastAsia="仿宋" w:cs="仿宋"/>
          <w:sz w:val="32"/>
          <w:szCs w:val="32"/>
          <w:lang w:val="en-US" w:eastAsia="zh-CN" w:bidi="en-US"/>
        </w:rPr>
        <w:t>59.17</w:t>
      </w:r>
      <w:r>
        <w:rPr>
          <w:rFonts w:hint="eastAsia" w:ascii="仿宋" w:hAnsi="仿宋" w:eastAsia="仿宋" w:cs="仿宋"/>
          <w:sz w:val="32"/>
          <w:szCs w:val="32"/>
        </w:rPr>
        <w:t>万元，主要包括：基本工资、津贴补贴、奖金、机关事业单位基本养老保险缴费、职工基本医疗保险缴费、住房公积金。</w:t>
      </w:r>
    </w:p>
    <w:p>
      <w:pPr>
        <w:pStyle w:val="13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76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商品和服务支出</w:t>
      </w:r>
      <w:r>
        <w:rPr>
          <w:rFonts w:hint="eastAsia" w:ascii="仿宋" w:hAnsi="仿宋" w:eastAsia="仿宋" w:cs="仿宋"/>
          <w:sz w:val="32"/>
          <w:szCs w:val="32"/>
          <w:lang w:val="en-US" w:eastAsia="zh-CN" w:bidi="en-US"/>
        </w:rPr>
        <w:t>6.01</w:t>
      </w:r>
      <w:r>
        <w:rPr>
          <w:rFonts w:hint="eastAsia" w:ascii="仿宋" w:hAnsi="仿宋" w:eastAsia="仿宋" w:cs="仿宋"/>
          <w:sz w:val="32"/>
          <w:szCs w:val="32"/>
        </w:rPr>
        <w:t>万元，主要包括：办公费、电费、邮电费、差旅费、公务接待费、其他交通费用。</w:t>
      </w:r>
    </w:p>
    <w:p>
      <w:pPr>
        <w:pStyle w:val="13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76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对个人和家庭的补助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0.01万元，主要包括：奖励金。</w:t>
      </w:r>
    </w:p>
    <w:p>
      <w:pPr>
        <w:pStyle w:val="13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760" w:firstLineChars="200"/>
        <w:jc w:val="both"/>
        <w:textAlignment w:val="auto"/>
        <w:rPr>
          <w:rFonts w:ascii="仿宋" w:hAnsi="仿宋" w:eastAsia="仿宋" w:cs="仿宋"/>
          <w:sz w:val="32"/>
          <w:szCs w:val="32"/>
          <w:lang w:val="en-US"/>
        </w:rPr>
      </w:pPr>
      <w:r>
        <w:rPr>
          <w:rFonts w:hint="eastAsia" w:ascii="仿宋" w:hAnsi="仿宋" w:eastAsia="仿宋" w:cs="仿宋"/>
          <w:sz w:val="32"/>
          <w:szCs w:val="32"/>
        </w:rPr>
        <w:t>资本性支出</w:t>
      </w:r>
      <w:r>
        <w:rPr>
          <w:rFonts w:hint="eastAsia" w:ascii="仿宋" w:hAnsi="仿宋" w:eastAsia="仿宋" w:cs="仿宋"/>
          <w:sz w:val="32"/>
          <w:szCs w:val="32"/>
          <w:lang w:val="en-US"/>
        </w:rPr>
        <w:t>1万元，主要包括办公设备购置。</w:t>
      </w:r>
    </w:p>
    <w:p>
      <w:pPr>
        <w:pStyle w:val="11"/>
        <w:keepNext w:val="0"/>
        <w:keepLines w:val="0"/>
        <w:pageBreakBefore w:val="0"/>
        <w:widowControl w:val="0"/>
        <w:shd w:val="clear" w:color="auto" w:fill="auto"/>
        <w:tabs>
          <w:tab w:val="left" w:pos="131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763" w:firstLineChars="200"/>
        <w:jc w:val="both"/>
        <w:textAlignment w:val="auto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四、</w:t>
      </w:r>
      <w:r>
        <w:rPr>
          <w:rFonts w:hint="eastAsia" w:ascii="仿宋" w:hAnsi="仿宋" w:eastAsia="仿宋" w:cs="仿宋"/>
          <w:sz w:val="32"/>
          <w:szCs w:val="32"/>
        </w:rPr>
        <w:tab/>
      </w:r>
      <w:r>
        <w:rPr>
          <w:rFonts w:hint="eastAsia" w:ascii="仿宋" w:hAnsi="仿宋" w:eastAsia="仿宋" w:cs="仿宋"/>
          <w:sz w:val="32"/>
          <w:szCs w:val="32"/>
        </w:rPr>
        <w:t>关于20</w:t>
      </w:r>
      <w:r>
        <w:rPr>
          <w:rFonts w:hint="eastAsia" w:ascii="仿宋" w:hAnsi="仿宋" w:eastAsia="仿宋" w:cs="仿宋"/>
          <w:sz w:val="32"/>
          <w:szCs w:val="32"/>
          <w:lang w:val="en-US"/>
        </w:rPr>
        <w:t>2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</w:t>
      </w:r>
      <w:r>
        <w:rPr>
          <w:rFonts w:hint="eastAsia" w:ascii="仿宋" w:hAnsi="仿宋" w:eastAsia="仿宋" w:cs="仿宋"/>
          <w:sz w:val="32"/>
          <w:szCs w:val="32"/>
        </w:rPr>
        <w:t>年政府性基金预算拨款情况说明</w:t>
      </w:r>
    </w:p>
    <w:p>
      <w:pPr>
        <w:pStyle w:val="13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760" w:firstLineChars="200"/>
        <w:textAlignment w:val="auto"/>
        <w:rPr>
          <w:rFonts w:ascii="仿宋" w:hAnsi="仿宋" w:eastAsia="仿宋" w:cs="仿宋"/>
          <w:sz w:val="32"/>
          <w:szCs w:val="32"/>
          <w:lang w:val="en-US"/>
        </w:rPr>
      </w:pPr>
      <w:r>
        <w:rPr>
          <w:rFonts w:hint="eastAsia" w:ascii="仿宋" w:hAnsi="仿宋" w:eastAsia="仿宋" w:cs="仿宋"/>
          <w:sz w:val="32"/>
          <w:szCs w:val="32"/>
          <w:lang w:val="en-US"/>
        </w:rPr>
        <w:t>信访局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2021年没有</w:t>
      </w:r>
      <w:r>
        <w:rPr>
          <w:rFonts w:hint="eastAsia" w:ascii="仿宋" w:hAnsi="仿宋" w:eastAsia="仿宋" w:cs="仿宋"/>
          <w:sz w:val="32"/>
          <w:szCs w:val="32"/>
          <w:lang w:val="en-US"/>
        </w:rPr>
        <w:t>政府性基金预算拨款收入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，也没有使用政府性基金预算拨款安排的支出</w:t>
      </w:r>
      <w:r>
        <w:rPr>
          <w:rFonts w:hint="eastAsia" w:ascii="仿宋" w:hAnsi="仿宋" w:eastAsia="仿宋" w:cs="仿宋"/>
          <w:sz w:val="32"/>
          <w:szCs w:val="32"/>
          <w:lang w:val="en-US"/>
        </w:rPr>
        <w:t>。</w:t>
      </w:r>
    </w:p>
    <w:p>
      <w:pPr>
        <w:pStyle w:val="11"/>
        <w:keepNext w:val="0"/>
        <w:keepLines w:val="0"/>
        <w:pageBreakBefore w:val="0"/>
        <w:widowControl w:val="0"/>
        <w:shd w:val="clear" w:color="auto" w:fill="auto"/>
        <w:tabs>
          <w:tab w:val="left" w:pos="131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763" w:firstLineChars="200"/>
        <w:jc w:val="both"/>
        <w:textAlignment w:val="auto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五、</w:t>
      </w:r>
      <w:r>
        <w:rPr>
          <w:rFonts w:hint="eastAsia" w:ascii="仿宋" w:hAnsi="仿宋" w:eastAsia="仿宋" w:cs="仿宋"/>
          <w:sz w:val="32"/>
          <w:szCs w:val="32"/>
        </w:rPr>
        <w:tab/>
      </w:r>
      <w:r>
        <w:rPr>
          <w:rFonts w:hint="eastAsia" w:ascii="仿宋" w:hAnsi="仿宋" w:eastAsia="仿宋" w:cs="仿宋"/>
          <w:sz w:val="32"/>
          <w:szCs w:val="32"/>
        </w:rPr>
        <w:t>关于20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21</w:t>
      </w:r>
      <w:r>
        <w:rPr>
          <w:rFonts w:hint="eastAsia" w:ascii="仿宋" w:hAnsi="仿宋" w:eastAsia="仿宋" w:cs="仿宋"/>
          <w:sz w:val="32"/>
          <w:szCs w:val="32"/>
        </w:rPr>
        <w:t>年收支预算总体情况说明</w:t>
      </w:r>
    </w:p>
    <w:p>
      <w:pPr>
        <w:pStyle w:val="13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760" w:firstLineChars="200"/>
        <w:jc w:val="both"/>
        <w:textAlignment w:val="auto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按照综合预算管理原则，石台县信访局所有收入和支出均纳入部门预算管理。石台县信访局20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21</w:t>
      </w:r>
      <w:r>
        <w:rPr>
          <w:rFonts w:hint="eastAsia" w:ascii="仿宋" w:hAnsi="仿宋" w:eastAsia="仿宋" w:cs="仿宋"/>
          <w:sz w:val="32"/>
          <w:szCs w:val="32"/>
        </w:rPr>
        <w:t>年收支总预算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96.19</w:t>
      </w:r>
      <w:r>
        <w:rPr>
          <w:rFonts w:hint="eastAsia" w:ascii="仿宋" w:hAnsi="仿宋" w:eastAsia="仿宋" w:cs="仿宋"/>
          <w:sz w:val="32"/>
          <w:szCs w:val="32"/>
        </w:rPr>
        <w:t>万元，收入为一般公共预算拨款收入，支出包括：一般公共服务支出、社会保障支出</w:t>
      </w:r>
      <w:r>
        <w:rPr>
          <w:rFonts w:hint="eastAsia" w:ascii="仿宋" w:hAnsi="仿宋" w:eastAsia="仿宋" w:cs="仿宋"/>
          <w:sz w:val="32"/>
          <w:szCs w:val="32"/>
          <w:lang w:val="en-US" w:bidi="en-US"/>
        </w:rPr>
        <w:t>、</w:t>
      </w:r>
      <w:r>
        <w:rPr>
          <w:rFonts w:hint="eastAsia" w:ascii="仿宋" w:hAnsi="仿宋" w:eastAsia="仿宋" w:cs="仿宋"/>
          <w:sz w:val="32"/>
          <w:szCs w:val="32"/>
        </w:rPr>
        <w:t>卫生健康支出、住房保障支出。</w:t>
      </w:r>
    </w:p>
    <w:p>
      <w:pPr>
        <w:pStyle w:val="11"/>
        <w:keepNext w:val="0"/>
        <w:keepLines w:val="0"/>
        <w:pageBreakBefore w:val="0"/>
        <w:widowControl w:val="0"/>
        <w:shd w:val="clear" w:color="auto" w:fill="auto"/>
        <w:tabs>
          <w:tab w:val="left" w:pos="131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763" w:firstLineChars="200"/>
        <w:jc w:val="both"/>
        <w:textAlignment w:val="auto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六、</w:t>
      </w:r>
      <w:r>
        <w:rPr>
          <w:rFonts w:hint="eastAsia" w:ascii="仿宋" w:hAnsi="仿宋" w:eastAsia="仿宋" w:cs="仿宋"/>
          <w:sz w:val="32"/>
          <w:szCs w:val="32"/>
        </w:rPr>
        <w:tab/>
      </w:r>
      <w:r>
        <w:rPr>
          <w:rFonts w:hint="eastAsia" w:ascii="仿宋" w:hAnsi="仿宋" w:eastAsia="仿宋" w:cs="仿宋"/>
          <w:sz w:val="32"/>
          <w:szCs w:val="32"/>
        </w:rPr>
        <w:t>关于20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21</w:t>
      </w:r>
      <w:r>
        <w:rPr>
          <w:rFonts w:hint="eastAsia" w:ascii="仿宋" w:hAnsi="仿宋" w:eastAsia="仿宋" w:cs="仿宋"/>
          <w:sz w:val="32"/>
          <w:szCs w:val="32"/>
        </w:rPr>
        <w:t>年收入预算情况说明</w:t>
      </w:r>
    </w:p>
    <w:p>
      <w:pPr>
        <w:pStyle w:val="13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760" w:firstLineChars="200"/>
        <w:textAlignment w:val="auto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石台县信访局20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21</w:t>
      </w:r>
      <w:r>
        <w:rPr>
          <w:rFonts w:hint="eastAsia" w:ascii="仿宋" w:hAnsi="仿宋" w:eastAsia="仿宋" w:cs="仿宋"/>
          <w:sz w:val="32"/>
          <w:szCs w:val="32"/>
        </w:rPr>
        <w:t>年收入预算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96.19</w:t>
      </w:r>
      <w:r>
        <w:rPr>
          <w:rFonts w:hint="eastAsia" w:ascii="仿宋" w:hAnsi="仿宋" w:eastAsia="仿宋" w:cs="仿宋"/>
          <w:sz w:val="32"/>
          <w:szCs w:val="32"/>
        </w:rPr>
        <w:t>万元，其中：一般公共预算拨款收入</w:t>
      </w:r>
      <w:r>
        <w:rPr>
          <w:rFonts w:hint="eastAsia" w:ascii="仿宋" w:hAnsi="仿宋" w:eastAsia="仿宋" w:cs="仿宋"/>
          <w:sz w:val="32"/>
          <w:szCs w:val="32"/>
          <w:lang w:val="en-US"/>
        </w:rPr>
        <w:t>7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96.19</w:t>
      </w:r>
      <w:r>
        <w:rPr>
          <w:rFonts w:hint="eastAsia" w:ascii="仿宋" w:hAnsi="仿宋" w:eastAsia="仿宋" w:cs="仿宋"/>
          <w:sz w:val="32"/>
          <w:szCs w:val="32"/>
        </w:rPr>
        <w:t>万元，占100%，比20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</w:t>
      </w:r>
      <w:r>
        <w:rPr>
          <w:rFonts w:hint="eastAsia" w:ascii="仿宋" w:hAnsi="仿宋" w:eastAsia="仿宋" w:cs="仿宋"/>
          <w:sz w:val="32"/>
          <w:szCs w:val="32"/>
        </w:rPr>
        <w:t>年预算增加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19.49</w:t>
      </w:r>
      <w:r>
        <w:rPr>
          <w:rFonts w:hint="eastAsia" w:ascii="仿宋" w:hAnsi="仿宋" w:eastAsia="仿宋" w:cs="仿宋"/>
          <w:sz w:val="32"/>
          <w:szCs w:val="32"/>
        </w:rPr>
        <w:t>万元，增长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25</w:t>
      </w:r>
      <w:r>
        <w:rPr>
          <w:rFonts w:hint="eastAsia" w:ascii="仿宋" w:hAnsi="仿宋" w:eastAsia="仿宋" w:cs="仿宋"/>
          <w:sz w:val="32"/>
          <w:szCs w:val="32"/>
        </w:rPr>
        <w:t>%，增长原因主要是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新增一名公务员，</w:t>
      </w:r>
      <w:r>
        <w:rPr>
          <w:rFonts w:hint="eastAsia" w:ascii="仿宋" w:hAnsi="仿宋" w:eastAsia="仿宋" w:cs="仿宋"/>
          <w:sz w:val="32"/>
          <w:szCs w:val="32"/>
        </w:rPr>
        <w:t>工资正常晋升增资。</w:t>
      </w:r>
    </w:p>
    <w:p>
      <w:pPr>
        <w:pStyle w:val="11"/>
        <w:keepNext w:val="0"/>
        <w:keepLines w:val="0"/>
        <w:pageBreakBefore w:val="0"/>
        <w:widowControl w:val="0"/>
        <w:shd w:val="clear" w:color="auto" w:fill="auto"/>
        <w:tabs>
          <w:tab w:val="left" w:pos="131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763" w:firstLineChars="200"/>
        <w:jc w:val="both"/>
        <w:textAlignment w:val="auto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七、</w:t>
      </w:r>
      <w:r>
        <w:rPr>
          <w:rFonts w:hint="eastAsia" w:ascii="仿宋" w:hAnsi="仿宋" w:eastAsia="仿宋" w:cs="仿宋"/>
          <w:sz w:val="32"/>
          <w:szCs w:val="32"/>
        </w:rPr>
        <w:tab/>
      </w:r>
      <w:r>
        <w:rPr>
          <w:rFonts w:hint="eastAsia" w:ascii="仿宋" w:hAnsi="仿宋" w:eastAsia="仿宋" w:cs="仿宋"/>
          <w:sz w:val="32"/>
          <w:szCs w:val="32"/>
        </w:rPr>
        <w:t>关于20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21</w:t>
      </w:r>
      <w:r>
        <w:rPr>
          <w:rFonts w:hint="eastAsia" w:ascii="仿宋" w:hAnsi="仿宋" w:eastAsia="仿宋" w:cs="仿宋"/>
          <w:sz w:val="32"/>
          <w:szCs w:val="32"/>
        </w:rPr>
        <w:t>年支出预算情况说明</w:t>
      </w:r>
    </w:p>
    <w:p>
      <w:pPr>
        <w:pStyle w:val="13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760" w:firstLineChars="200"/>
        <w:jc w:val="both"/>
        <w:textAlignment w:val="auto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石台县信访局20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21</w:t>
      </w:r>
      <w:r>
        <w:rPr>
          <w:rFonts w:hint="eastAsia" w:ascii="仿宋" w:hAnsi="仿宋" w:eastAsia="仿宋" w:cs="仿宋"/>
          <w:sz w:val="32"/>
          <w:szCs w:val="32"/>
        </w:rPr>
        <w:t>年支出预算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96.19</w:t>
      </w:r>
      <w:r>
        <w:rPr>
          <w:rFonts w:hint="eastAsia" w:ascii="仿宋" w:hAnsi="仿宋" w:eastAsia="仿宋" w:cs="仿宋"/>
          <w:sz w:val="32"/>
          <w:szCs w:val="32"/>
        </w:rPr>
        <w:t>万元，比20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</w:t>
      </w:r>
      <w:r>
        <w:rPr>
          <w:rFonts w:hint="eastAsia" w:ascii="仿宋" w:hAnsi="仿宋" w:eastAsia="仿宋" w:cs="仿宋"/>
          <w:sz w:val="32"/>
          <w:szCs w:val="32"/>
        </w:rPr>
        <w:t>年预算增加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19.49</w:t>
      </w:r>
      <w:r>
        <w:rPr>
          <w:rFonts w:hint="eastAsia" w:ascii="仿宋" w:hAnsi="仿宋" w:eastAsia="仿宋" w:cs="仿宋"/>
          <w:sz w:val="32"/>
          <w:szCs w:val="32"/>
        </w:rPr>
        <w:t>万元，增长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25</w:t>
      </w:r>
      <w:r>
        <w:rPr>
          <w:rFonts w:hint="eastAsia" w:ascii="仿宋" w:hAnsi="仿宋" w:eastAsia="仿宋" w:cs="仿宋"/>
          <w:sz w:val="32"/>
          <w:szCs w:val="32"/>
        </w:rPr>
        <w:t>%,增长原因主要是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新增一名公务员，</w:t>
      </w:r>
      <w:r>
        <w:rPr>
          <w:rFonts w:hint="eastAsia" w:ascii="仿宋" w:hAnsi="仿宋" w:eastAsia="仿宋" w:cs="仿宋"/>
          <w:sz w:val="32"/>
          <w:szCs w:val="32"/>
        </w:rPr>
        <w:t>工资正常晋升增资。其中，基本支出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66.19</w:t>
      </w:r>
      <w:r>
        <w:rPr>
          <w:rFonts w:hint="eastAsia" w:ascii="仿宋" w:hAnsi="仿宋" w:eastAsia="仿宋" w:cs="仿宋"/>
          <w:sz w:val="32"/>
          <w:szCs w:val="32"/>
        </w:rPr>
        <w:t>万元，占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69</w:t>
      </w:r>
      <w:r>
        <w:rPr>
          <w:rFonts w:hint="eastAsia" w:ascii="仿宋" w:hAnsi="仿宋" w:eastAsia="仿宋" w:cs="仿宋"/>
          <w:sz w:val="32"/>
          <w:szCs w:val="32"/>
        </w:rPr>
        <w:t>%,主要用于</w:t>
      </w:r>
      <w:r>
        <w:rPr>
          <w:rFonts w:hint="eastAsia" w:ascii="仿宋" w:hAnsi="仿宋" w:eastAsia="仿宋" w:cs="仿宋"/>
          <w:sz w:val="32"/>
          <w:szCs w:val="32"/>
          <w:lang w:val="en-US"/>
        </w:rPr>
        <w:t>基本工资、津贴补贴、住房公积金、机关事业单位基本要老保险缴费支出、城镇职工基本医疗保险缴费等</w:t>
      </w:r>
      <w:r>
        <w:rPr>
          <w:rFonts w:hint="eastAsia" w:ascii="仿宋" w:hAnsi="仿宋" w:eastAsia="仿宋" w:cs="仿宋"/>
          <w:sz w:val="32"/>
          <w:szCs w:val="32"/>
        </w:rPr>
        <w:t>；项目支出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30</w:t>
      </w:r>
      <w:r>
        <w:rPr>
          <w:rFonts w:hint="eastAsia" w:ascii="仿宋" w:hAnsi="仿宋" w:eastAsia="仿宋" w:cs="仿宋"/>
          <w:sz w:val="32"/>
          <w:szCs w:val="32"/>
        </w:rPr>
        <w:t>万元，占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31</w:t>
      </w:r>
      <w:r>
        <w:rPr>
          <w:rFonts w:hint="eastAsia" w:ascii="仿宋" w:hAnsi="仿宋" w:eastAsia="仿宋" w:cs="仿宋"/>
          <w:sz w:val="32"/>
          <w:szCs w:val="32"/>
        </w:rPr>
        <w:t>%,主要用于</w:t>
      </w:r>
      <w:r>
        <w:rPr>
          <w:rFonts w:hint="eastAsia" w:ascii="仿宋" w:hAnsi="仿宋" w:eastAsia="仿宋" w:cs="仿宋"/>
          <w:sz w:val="32"/>
          <w:szCs w:val="32"/>
          <w:lang w:val="en-US"/>
        </w:rPr>
        <w:t>办公经费、群众工作经费支出、接访经费、退役士兵安置再就业经费等</w:t>
      </w:r>
      <w:r>
        <w:rPr>
          <w:rFonts w:hint="eastAsia" w:ascii="仿宋" w:hAnsi="仿宋" w:eastAsia="仿宋" w:cs="仿宋"/>
          <w:sz w:val="32"/>
          <w:szCs w:val="32"/>
        </w:rPr>
        <w:t>。</w:t>
      </w:r>
    </w:p>
    <w:p>
      <w:pPr>
        <w:pStyle w:val="11"/>
        <w:keepNext w:val="0"/>
        <w:keepLines w:val="0"/>
        <w:pageBreakBefore w:val="0"/>
        <w:widowControl w:val="0"/>
        <w:shd w:val="clear" w:color="auto" w:fill="auto"/>
        <w:tabs>
          <w:tab w:val="left" w:pos="131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763" w:firstLineChars="200"/>
        <w:jc w:val="both"/>
        <w:textAlignment w:val="auto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八、</w:t>
      </w:r>
      <w:r>
        <w:rPr>
          <w:rFonts w:hint="eastAsia" w:ascii="仿宋" w:hAnsi="仿宋" w:eastAsia="仿宋" w:cs="仿宋"/>
          <w:sz w:val="32"/>
          <w:szCs w:val="32"/>
        </w:rPr>
        <w:tab/>
      </w:r>
      <w:r>
        <w:rPr>
          <w:rFonts w:hint="eastAsia" w:ascii="仿宋" w:hAnsi="仿宋" w:eastAsia="仿宋" w:cs="仿宋"/>
          <w:sz w:val="32"/>
          <w:szCs w:val="32"/>
        </w:rPr>
        <w:t>关于20</w:t>
      </w:r>
      <w:r>
        <w:rPr>
          <w:rFonts w:hint="eastAsia" w:ascii="仿宋" w:hAnsi="仿宋" w:eastAsia="仿宋" w:cs="仿宋"/>
          <w:sz w:val="32"/>
          <w:szCs w:val="32"/>
          <w:lang w:val="en-US"/>
        </w:rPr>
        <w:t>2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</w:t>
      </w:r>
      <w:r>
        <w:rPr>
          <w:rFonts w:hint="eastAsia" w:ascii="仿宋" w:hAnsi="仿宋" w:eastAsia="仿宋" w:cs="仿宋"/>
          <w:sz w:val="32"/>
          <w:szCs w:val="32"/>
        </w:rPr>
        <w:t>年国有资本经营预算拨款情况说明</w:t>
      </w:r>
    </w:p>
    <w:p>
      <w:pPr>
        <w:pStyle w:val="13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760" w:firstLineChars="200"/>
        <w:textAlignment w:val="auto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石台县信访局20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21</w:t>
      </w:r>
      <w:r>
        <w:rPr>
          <w:rFonts w:hint="eastAsia" w:ascii="仿宋" w:hAnsi="仿宋" w:eastAsia="仿宋" w:cs="仿宋"/>
          <w:sz w:val="32"/>
          <w:szCs w:val="32"/>
        </w:rPr>
        <w:t>年没有国有资本经营预算拨款收入，也没有使用国有资本经营预算拨款安排的支出。</w:t>
      </w:r>
    </w:p>
    <w:p>
      <w:pPr>
        <w:pStyle w:val="13"/>
        <w:keepNext w:val="0"/>
        <w:keepLines w:val="0"/>
        <w:pageBreakBefore w:val="0"/>
        <w:widowControl w:val="0"/>
        <w:numPr>
          <w:ilvl w:val="0"/>
          <w:numId w:val="4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763" w:firstLineChars="200"/>
        <w:jc w:val="both"/>
        <w:textAlignment w:val="auto"/>
        <w:rPr>
          <w:rFonts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项目绩效目标设置情况说明</w:t>
      </w:r>
    </w:p>
    <w:p>
      <w:pPr>
        <w:pStyle w:val="13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76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/>
        </w:rPr>
      </w:pPr>
      <w:r>
        <w:rPr>
          <w:rFonts w:hint="eastAsia" w:ascii="仿宋" w:hAnsi="仿宋" w:eastAsia="仿宋" w:cs="仿宋"/>
          <w:sz w:val="32"/>
          <w:szCs w:val="32"/>
          <w:lang w:val="en-US"/>
        </w:rPr>
        <w:t>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21</w:t>
      </w:r>
      <w:r>
        <w:rPr>
          <w:rFonts w:hint="eastAsia" w:ascii="仿宋" w:hAnsi="仿宋" w:eastAsia="仿宋" w:cs="仿宋"/>
          <w:sz w:val="32"/>
          <w:szCs w:val="32"/>
          <w:lang w:val="en-US"/>
        </w:rPr>
        <w:t>年，石台县信访局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</w:t>
      </w:r>
      <w:r>
        <w:rPr>
          <w:rFonts w:hint="eastAsia" w:ascii="仿宋" w:hAnsi="仿宋" w:eastAsia="仿宋" w:cs="仿宋"/>
          <w:sz w:val="32"/>
          <w:szCs w:val="32"/>
          <w:lang w:val="en-US"/>
        </w:rPr>
        <w:t>020 年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，石台县信访局2</w:t>
      </w:r>
      <w:r>
        <w:rPr>
          <w:rFonts w:hint="eastAsia" w:ascii="仿宋" w:hAnsi="仿宋" w:eastAsia="仿宋" w:cs="仿宋"/>
          <w:sz w:val="32"/>
          <w:szCs w:val="32"/>
          <w:lang w:val="en-US"/>
        </w:rPr>
        <w:t>个项目实行了绩效目标管理，涉及一般公共预算当年财政拨款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30</w:t>
      </w:r>
      <w:r>
        <w:rPr>
          <w:rFonts w:hint="eastAsia" w:ascii="仿宋" w:hAnsi="仿宋" w:eastAsia="仿宋" w:cs="仿宋"/>
          <w:sz w:val="32"/>
          <w:szCs w:val="32"/>
          <w:lang w:val="en-US"/>
        </w:rPr>
        <w:t>万元、政府性基金预算当年财政拨款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0</w:t>
      </w:r>
      <w:r>
        <w:rPr>
          <w:rFonts w:hint="eastAsia" w:ascii="仿宋" w:hAnsi="仿宋" w:eastAsia="仿宋" w:cs="仿宋"/>
          <w:sz w:val="32"/>
          <w:szCs w:val="32"/>
          <w:lang w:val="en-US"/>
        </w:rPr>
        <w:t>万元。</w:t>
      </w:r>
    </w:p>
    <w:p>
      <w:pPr>
        <w:pStyle w:val="13"/>
        <w:keepNext w:val="0"/>
        <w:keepLines w:val="0"/>
        <w:pageBreakBefore w:val="0"/>
        <w:widowControl w:val="0"/>
        <w:numPr>
          <w:ilvl w:val="0"/>
          <w:numId w:val="5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76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项目及绩效目标情况</w:t>
      </w:r>
    </w:p>
    <w:p>
      <w:pPr>
        <w:pStyle w:val="13"/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950" w:leftChars="0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1.信访专项工作经费</w:t>
      </w:r>
    </w:p>
    <w:p>
      <w:pPr>
        <w:pStyle w:val="13"/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76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（1）项目概述。群众工作部专项经费，接访经费，信访专网，信访积案专项化解支出。</w:t>
      </w:r>
    </w:p>
    <w:p>
      <w:pPr>
        <w:pStyle w:val="13"/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76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（2）立项依据。池信联发[2012]3号文件,县委常委会议纪要（十一届  24号），县委石办秘【2017】62号文件等。</w:t>
      </w:r>
    </w:p>
    <w:p>
      <w:pPr>
        <w:pStyle w:val="13"/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76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（3）实施主体。石台县信访局。</w:t>
      </w:r>
    </w:p>
    <w:p>
      <w:pPr>
        <w:pStyle w:val="13"/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76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（4）起止时间。2021年1月1日-2021年12月31日。</w:t>
      </w:r>
    </w:p>
    <w:p>
      <w:pPr>
        <w:pStyle w:val="13"/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76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（5）项目内容。群众工作部专项经费，接访经费，信访专网，信访积案专项化解支出。</w:t>
      </w:r>
    </w:p>
    <w:p>
      <w:pPr>
        <w:pStyle w:val="13"/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76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（6）年度预算安排。财政拨款24万元。</w:t>
      </w:r>
    </w:p>
    <w:p>
      <w:pPr>
        <w:pStyle w:val="13"/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76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（7）绩效目标。</w:t>
      </w:r>
    </w:p>
    <w:p>
      <w:pPr>
        <w:pStyle w:val="13"/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76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pStyle w:val="13"/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76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pStyle w:val="13"/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76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tbl>
      <w:tblPr>
        <w:tblStyle w:val="2"/>
        <w:tblW w:w="962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476"/>
        <w:gridCol w:w="697"/>
        <w:gridCol w:w="752"/>
        <w:gridCol w:w="996"/>
        <w:gridCol w:w="650"/>
        <w:gridCol w:w="982"/>
        <w:gridCol w:w="962"/>
        <w:gridCol w:w="1444"/>
        <w:gridCol w:w="1"/>
        <w:gridCol w:w="700"/>
        <w:gridCol w:w="983"/>
        <w:gridCol w:w="977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</w:trPr>
        <w:tc>
          <w:tcPr>
            <w:tcW w:w="8643" w:type="dxa"/>
            <w:gridSpan w:val="11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项目支出绩效目标表</w:t>
            </w:r>
          </w:p>
        </w:tc>
        <w:tc>
          <w:tcPr>
            <w:tcW w:w="97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</w:trPr>
        <w:tc>
          <w:tcPr>
            <w:tcW w:w="8643" w:type="dxa"/>
            <w:gridSpan w:val="11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  2021年度）</w:t>
            </w:r>
          </w:p>
        </w:tc>
        <w:tc>
          <w:tcPr>
            <w:tcW w:w="97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</w:trPr>
        <w:tc>
          <w:tcPr>
            <w:tcW w:w="192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6718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信访专项工作经费</w:t>
            </w:r>
          </w:p>
        </w:tc>
        <w:tc>
          <w:tcPr>
            <w:tcW w:w="9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</w:trPr>
        <w:tc>
          <w:tcPr>
            <w:tcW w:w="192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主管部门</w:t>
            </w:r>
          </w:p>
        </w:tc>
        <w:tc>
          <w:tcPr>
            <w:tcW w:w="262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县信访局</w:t>
            </w:r>
          </w:p>
        </w:tc>
        <w:tc>
          <w:tcPr>
            <w:tcW w:w="240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实施单位</w:t>
            </w:r>
          </w:p>
        </w:tc>
        <w:tc>
          <w:tcPr>
            <w:tcW w:w="1683" w:type="dxa"/>
            <w:gridSpan w:val="2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县信访局</w:t>
            </w:r>
          </w:p>
        </w:tc>
        <w:tc>
          <w:tcPr>
            <w:tcW w:w="977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</w:trPr>
        <w:tc>
          <w:tcPr>
            <w:tcW w:w="192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项目属性</w:t>
            </w:r>
          </w:p>
        </w:tc>
        <w:tc>
          <w:tcPr>
            <w:tcW w:w="262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□新增项目     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延续项目</w:t>
            </w:r>
          </w:p>
        </w:tc>
        <w:tc>
          <w:tcPr>
            <w:tcW w:w="240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项目期</w:t>
            </w:r>
          </w:p>
        </w:tc>
        <w:tc>
          <w:tcPr>
            <w:tcW w:w="1683" w:type="dxa"/>
            <w:gridSpan w:val="2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2021</w:t>
            </w:r>
          </w:p>
        </w:tc>
        <w:tc>
          <w:tcPr>
            <w:tcW w:w="977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</w:trPr>
        <w:tc>
          <w:tcPr>
            <w:tcW w:w="1925" w:type="dxa"/>
            <w:gridSpan w:val="3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项目资金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（万元）</w:t>
            </w:r>
          </w:p>
        </w:tc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中期资金总额：</w:t>
            </w:r>
          </w:p>
        </w:tc>
        <w:tc>
          <w:tcPr>
            <w:tcW w:w="163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40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年度资金总额：</w:t>
            </w:r>
          </w:p>
        </w:tc>
        <w:tc>
          <w:tcPr>
            <w:tcW w:w="1683" w:type="dxa"/>
            <w:gridSpan w:val="2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  <w:tc>
          <w:tcPr>
            <w:tcW w:w="977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</w:trPr>
        <w:tc>
          <w:tcPr>
            <w:tcW w:w="1925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   其中：财政拨款</w:t>
            </w:r>
          </w:p>
        </w:tc>
        <w:tc>
          <w:tcPr>
            <w:tcW w:w="163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40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  其中：财政拨款</w:t>
            </w:r>
          </w:p>
        </w:tc>
        <w:tc>
          <w:tcPr>
            <w:tcW w:w="1683" w:type="dxa"/>
            <w:gridSpan w:val="2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  <w:tc>
          <w:tcPr>
            <w:tcW w:w="977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</w:trPr>
        <w:tc>
          <w:tcPr>
            <w:tcW w:w="1925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         其他资金</w:t>
            </w:r>
          </w:p>
        </w:tc>
        <w:tc>
          <w:tcPr>
            <w:tcW w:w="163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40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         </w:t>
            </w:r>
            <w:r>
              <w:rPr>
                <w:rStyle w:val="46"/>
                <w:lang w:val="en-US" w:eastAsia="zh-CN" w:bidi="ar"/>
              </w:rPr>
              <w:t>其他资金</w:t>
            </w:r>
          </w:p>
        </w:tc>
        <w:tc>
          <w:tcPr>
            <w:tcW w:w="1683" w:type="dxa"/>
            <w:gridSpan w:val="2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7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</w:trPr>
        <w:tc>
          <w:tcPr>
            <w:tcW w:w="47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总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体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目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标</w:t>
            </w:r>
          </w:p>
        </w:tc>
        <w:tc>
          <w:tcPr>
            <w:tcW w:w="4077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中期目标（20××年—20××+n年）</w:t>
            </w:r>
          </w:p>
        </w:tc>
        <w:tc>
          <w:tcPr>
            <w:tcW w:w="409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年度目标</w:t>
            </w:r>
          </w:p>
        </w:tc>
        <w:tc>
          <w:tcPr>
            <w:tcW w:w="9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</w:trPr>
        <w:tc>
          <w:tcPr>
            <w:tcW w:w="4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077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目标1：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目标2：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409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目标1：做好信访积案化解工作。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目标2：做好全县信访稳控工作。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9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</w:trPr>
        <w:tc>
          <w:tcPr>
            <w:tcW w:w="47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绩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效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指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标</w:t>
            </w:r>
          </w:p>
        </w:tc>
        <w:tc>
          <w:tcPr>
            <w:tcW w:w="697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一级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指标</w:t>
            </w:r>
          </w:p>
        </w:tc>
        <w:tc>
          <w:tcPr>
            <w:tcW w:w="7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二级指标</w:t>
            </w:r>
          </w:p>
        </w:tc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三级指标</w:t>
            </w:r>
          </w:p>
        </w:tc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指标值</w:t>
            </w:r>
          </w:p>
        </w:tc>
        <w:tc>
          <w:tcPr>
            <w:tcW w:w="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绩效标准</w:t>
            </w:r>
          </w:p>
        </w:tc>
        <w:tc>
          <w:tcPr>
            <w:tcW w:w="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二级指标</w:t>
            </w:r>
          </w:p>
        </w:tc>
        <w:tc>
          <w:tcPr>
            <w:tcW w:w="1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三级指标</w:t>
            </w:r>
          </w:p>
        </w:tc>
        <w:tc>
          <w:tcPr>
            <w:tcW w:w="7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指标值</w:t>
            </w:r>
          </w:p>
        </w:tc>
        <w:tc>
          <w:tcPr>
            <w:tcW w:w="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绩效标准</w:t>
            </w:r>
          </w:p>
        </w:tc>
        <w:tc>
          <w:tcPr>
            <w:tcW w:w="9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</w:trPr>
        <w:tc>
          <w:tcPr>
            <w:tcW w:w="4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9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产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出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指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标</w:t>
            </w:r>
          </w:p>
        </w:tc>
        <w:tc>
          <w:tcPr>
            <w:tcW w:w="7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数量指标</w:t>
            </w:r>
          </w:p>
        </w:tc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指标1：</w:t>
            </w:r>
          </w:p>
        </w:tc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数量指标</w:t>
            </w:r>
          </w:p>
        </w:tc>
        <w:tc>
          <w:tcPr>
            <w:tcW w:w="1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指标1：信访局积案化解率</w:t>
            </w:r>
          </w:p>
        </w:tc>
        <w:tc>
          <w:tcPr>
            <w:tcW w:w="7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≥90%</w:t>
            </w:r>
          </w:p>
        </w:tc>
        <w:tc>
          <w:tcPr>
            <w:tcW w:w="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开展信访“三无”县创建工作</w:t>
            </w:r>
          </w:p>
        </w:tc>
        <w:tc>
          <w:tcPr>
            <w:tcW w:w="9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</w:trPr>
        <w:tc>
          <w:tcPr>
            <w:tcW w:w="4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9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质量指标</w:t>
            </w:r>
          </w:p>
        </w:tc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指标1：</w:t>
            </w:r>
          </w:p>
        </w:tc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质量指标</w:t>
            </w:r>
          </w:p>
        </w:tc>
        <w:tc>
          <w:tcPr>
            <w:tcW w:w="1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指标1：全省信访工作年度考核等次</w:t>
            </w:r>
          </w:p>
        </w:tc>
        <w:tc>
          <w:tcPr>
            <w:tcW w:w="7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优秀</w:t>
            </w:r>
          </w:p>
        </w:tc>
        <w:tc>
          <w:tcPr>
            <w:tcW w:w="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省信访局年度信访工作目标考核办法</w:t>
            </w:r>
          </w:p>
        </w:tc>
        <w:tc>
          <w:tcPr>
            <w:tcW w:w="9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</w:trPr>
        <w:tc>
          <w:tcPr>
            <w:tcW w:w="4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9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时效指标</w:t>
            </w:r>
          </w:p>
        </w:tc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指标1：</w:t>
            </w:r>
          </w:p>
        </w:tc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时效指标</w:t>
            </w:r>
          </w:p>
        </w:tc>
        <w:tc>
          <w:tcPr>
            <w:tcW w:w="1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指标1：信访事项受利率、办结率、参评率</w:t>
            </w:r>
          </w:p>
        </w:tc>
        <w:tc>
          <w:tcPr>
            <w:tcW w:w="7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≥95%</w:t>
            </w:r>
          </w:p>
        </w:tc>
        <w:tc>
          <w:tcPr>
            <w:tcW w:w="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省信访平台“三率”考核</w:t>
            </w:r>
          </w:p>
        </w:tc>
        <w:tc>
          <w:tcPr>
            <w:tcW w:w="9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</w:trPr>
        <w:tc>
          <w:tcPr>
            <w:tcW w:w="4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满意度指标</w:t>
            </w:r>
          </w:p>
        </w:tc>
        <w:tc>
          <w:tcPr>
            <w:tcW w:w="7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服务对象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满意度指标</w:t>
            </w:r>
          </w:p>
        </w:tc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指标1：</w:t>
            </w:r>
          </w:p>
        </w:tc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服务对象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满意度指标</w:t>
            </w:r>
          </w:p>
        </w:tc>
        <w:tc>
          <w:tcPr>
            <w:tcW w:w="1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指标1：群众满意率不断提升。</w:t>
            </w:r>
          </w:p>
        </w:tc>
        <w:tc>
          <w:tcPr>
            <w:tcW w:w="7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≥98%</w:t>
            </w:r>
          </w:p>
        </w:tc>
        <w:tc>
          <w:tcPr>
            <w:tcW w:w="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省信访平台考核群众满意度</w:t>
            </w:r>
          </w:p>
        </w:tc>
        <w:tc>
          <w:tcPr>
            <w:tcW w:w="9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</w:tbl>
    <w:p>
      <w:pPr>
        <w:pStyle w:val="13"/>
        <w:numPr>
          <w:numId w:val="0"/>
        </w:numPr>
        <w:shd w:val="clear" w:color="auto" w:fill="auto"/>
        <w:spacing w:before="0" w:after="0" w:line="360" w:lineRule="auto"/>
        <w:ind w:left="720" w:leftChars="0"/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pStyle w:val="13"/>
        <w:numPr>
          <w:numId w:val="0"/>
        </w:numPr>
        <w:shd w:val="clear" w:color="auto" w:fill="auto"/>
        <w:spacing w:before="0" w:after="0" w:line="360" w:lineRule="auto"/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pStyle w:val="13"/>
        <w:numPr>
          <w:ilvl w:val="0"/>
          <w:numId w:val="6"/>
        </w:numPr>
        <w:shd w:val="clear" w:color="auto" w:fill="auto"/>
        <w:spacing w:before="0" w:after="0" w:line="360" w:lineRule="auto"/>
        <w:ind w:left="720" w:leftChars="0" w:firstLine="0" w:firstLineChars="0"/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退役士官专项工作经费</w:t>
      </w:r>
    </w:p>
    <w:p>
      <w:pPr>
        <w:pStyle w:val="13"/>
        <w:numPr>
          <w:ilvl w:val="0"/>
          <w:numId w:val="7"/>
        </w:numPr>
        <w:shd w:val="clear" w:color="auto" w:fill="auto"/>
        <w:spacing w:before="0" w:after="0" w:line="360" w:lineRule="auto"/>
        <w:ind w:left="760" w:leftChars="0"/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项目概述。退役士官工资及保险、公积金支出。</w:t>
      </w:r>
    </w:p>
    <w:p>
      <w:pPr>
        <w:pStyle w:val="13"/>
        <w:numPr>
          <w:ilvl w:val="0"/>
          <w:numId w:val="7"/>
        </w:numPr>
        <w:shd w:val="clear" w:color="auto" w:fill="auto"/>
        <w:spacing w:before="0" w:after="0" w:line="360" w:lineRule="auto"/>
        <w:ind w:left="760" w:leftChars="0"/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立项依据。县里统一安排退役士官再就业安置。</w:t>
      </w:r>
    </w:p>
    <w:p>
      <w:pPr>
        <w:pStyle w:val="13"/>
        <w:numPr>
          <w:ilvl w:val="0"/>
          <w:numId w:val="7"/>
        </w:numPr>
        <w:shd w:val="clear" w:color="auto" w:fill="auto"/>
        <w:spacing w:before="0" w:after="0" w:line="360" w:lineRule="auto"/>
        <w:ind w:left="760" w:leftChars="0"/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实施主体。石台县信访局。</w:t>
      </w:r>
    </w:p>
    <w:p>
      <w:pPr>
        <w:pStyle w:val="13"/>
        <w:numPr>
          <w:ilvl w:val="0"/>
          <w:numId w:val="7"/>
        </w:numPr>
        <w:shd w:val="clear" w:color="auto" w:fill="auto"/>
        <w:spacing w:before="0" w:after="0" w:line="360" w:lineRule="auto"/>
        <w:ind w:left="760" w:leftChars="0"/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起止时间。2021年1月1日-2021年12月31日。</w:t>
      </w:r>
    </w:p>
    <w:p>
      <w:pPr>
        <w:pStyle w:val="13"/>
        <w:numPr>
          <w:ilvl w:val="0"/>
          <w:numId w:val="7"/>
        </w:numPr>
        <w:shd w:val="clear" w:color="auto" w:fill="auto"/>
        <w:spacing w:before="0" w:after="0" w:line="360" w:lineRule="auto"/>
        <w:ind w:left="760" w:leftChars="0"/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项目内容。退役士官工资及保险、公积金的支出。</w:t>
      </w:r>
    </w:p>
    <w:p>
      <w:pPr>
        <w:pStyle w:val="13"/>
        <w:numPr>
          <w:ilvl w:val="0"/>
          <w:numId w:val="7"/>
        </w:numPr>
        <w:shd w:val="clear" w:color="auto" w:fill="auto"/>
        <w:spacing w:before="0" w:after="0" w:line="360" w:lineRule="auto"/>
        <w:ind w:left="760" w:leftChars="0"/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年度预算安排。财政拨款6万元。</w:t>
      </w:r>
    </w:p>
    <w:p>
      <w:pPr>
        <w:pStyle w:val="13"/>
        <w:numPr>
          <w:ilvl w:val="0"/>
          <w:numId w:val="7"/>
        </w:numPr>
        <w:shd w:val="clear" w:color="auto" w:fill="auto"/>
        <w:spacing w:before="0" w:after="0" w:line="360" w:lineRule="auto"/>
        <w:ind w:left="760" w:leftChars="0"/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绩效目标。</w:t>
      </w:r>
    </w:p>
    <w:p>
      <w:pPr>
        <w:pStyle w:val="13"/>
        <w:widowControl w:val="0"/>
        <w:numPr>
          <w:numId w:val="0"/>
        </w:numPr>
        <w:shd w:val="clear" w:color="auto" w:fill="auto"/>
        <w:spacing w:before="0" w:after="0" w:line="360" w:lineRule="auto"/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pStyle w:val="13"/>
        <w:widowControl w:val="0"/>
        <w:numPr>
          <w:numId w:val="0"/>
        </w:numPr>
        <w:shd w:val="clear" w:color="auto" w:fill="auto"/>
        <w:spacing w:before="0" w:after="0" w:line="360" w:lineRule="auto"/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pStyle w:val="13"/>
        <w:widowControl w:val="0"/>
        <w:numPr>
          <w:numId w:val="0"/>
        </w:numPr>
        <w:shd w:val="clear" w:color="auto" w:fill="auto"/>
        <w:spacing w:before="0" w:after="0" w:line="360" w:lineRule="auto"/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pStyle w:val="13"/>
        <w:widowControl w:val="0"/>
        <w:numPr>
          <w:numId w:val="0"/>
        </w:numPr>
        <w:shd w:val="clear" w:color="auto" w:fill="auto"/>
        <w:spacing w:before="0" w:after="0" w:line="360" w:lineRule="auto"/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pStyle w:val="13"/>
        <w:widowControl w:val="0"/>
        <w:numPr>
          <w:numId w:val="0"/>
        </w:numPr>
        <w:shd w:val="clear" w:color="auto" w:fill="auto"/>
        <w:spacing w:before="0" w:after="0" w:line="360" w:lineRule="auto"/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pStyle w:val="13"/>
        <w:widowControl w:val="0"/>
        <w:numPr>
          <w:numId w:val="0"/>
        </w:numPr>
        <w:shd w:val="clear" w:color="auto" w:fill="auto"/>
        <w:spacing w:before="0" w:after="0" w:line="360" w:lineRule="auto"/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pStyle w:val="13"/>
        <w:widowControl w:val="0"/>
        <w:numPr>
          <w:numId w:val="0"/>
        </w:numPr>
        <w:shd w:val="clear" w:color="auto" w:fill="auto"/>
        <w:spacing w:before="0" w:after="0" w:line="360" w:lineRule="auto"/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pStyle w:val="13"/>
        <w:widowControl w:val="0"/>
        <w:numPr>
          <w:numId w:val="0"/>
        </w:numPr>
        <w:shd w:val="clear" w:color="auto" w:fill="auto"/>
        <w:spacing w:before="0" w:after="0" w:line="360" w:lineRule="auto"/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pStyle w:val="13"/>
        <w:widowControl w:val="0"/>
        <w:numPr>
          <w:numId w:val="0"/>
        </w:numPr>
        <w:shd w:val="clear" w:color="auto" w:fill="auto"/>
        <w:spacing w:before="0" w:after="0" w:line="360" w:lineRule="auto"/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pStyle w:val="13"/>
        <w:widowControl w:val="0"/>
        <w:numPr>
          <w:numId w:val="0"/>
        </w:numPr>
        <w:shd w:val="clear" w:color="auto" w:fill="auto"/>
        <w:spacing w:before="0" w:after="0" w:line="360" w:lineRule="auto"/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pStyle w:val="13"/>
        <w:widowControl w:val="0"/>
        <w:numPr>
          <w:numId w:val="0"/>
        </w:numPr>
        <w:shd w:val="clear" w:color="auto" w:fill="auto"/>
        <w:spacing w:before="0" w:after="0" w:line="360" w:lineRule="auto"/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pStyle w:val="13"/>
        <w:widowControl w:val="0"/>
        <w:numPr>
          <w:numId w:val="0"/>
        </w:numPr>
        <w:shd w:val="clear" w:color="auto" w:fill="auto"/>
        <w:spacing w:before="0" w:after="0" w:line="360" w:lineRule="auto"/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pStyle w:val="13"/>
        <w:widowControl w:val="0"/>
        <w:numPr>
          <w:numId w:val="0"/>
        </w:numPr>
        <w:shd w:val="clear" w:color="auto" w:fill="auto"/>
        <w:spacing w:before="0" w:after="0" w:line="360" w:lineRule="auto"/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pStyle w:val="13"/>
        <w:widowControl w:val="0"/>
        <w:numPr>
          <w:numId w:val="0"/>
        </w:numPr>
        <w:shd w:val="clear" w:color="auto" w:fill="auto"/>
        <w:spacing w:before="0" w:after="0" w:line="360" w:lineRule="auto"/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tbl>
      <w:tblPr>
        <w:tblStyle w:val="2"/>
        <w:tblW w:w="1012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414"/>
        <w:gridCol w:w="600"/>
        <w:gridCol w:w="836"/>
        <w:gridCol w:w="1"/>
        <w:gridCol w:w="1265"/>
        <w:gridCol w:w="1"/>
        <w:gridCol w:w="537"/>
        <w:gridCol w:w="572"/>
        <w:gridCol w:w="2217"/>
        <w:gridCol w:w="1478"/>
        <w:gridCol w:w="751"/>
        <w:gridCol w:w="726"/>
        <w:gridCol w:w="722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</w:trPr>
        <w:tc>
          <w:tcPr>
            <w:tcW w:w="9398" w:type="dxa"/>
            <w:gridSpan w:val="12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项目支出绩效目标表</w:t>
            </w:r>
          </w:p>
        </w:tc>
        <w:tc>
          <w:tcPr>
            <w:tcW w:w="72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</w:trPr>
        <w:tc>
          <w:tcPr>
            <w:tcW w:w="9398" w:type="dxa"/>
            <w:gridSpan w:val="12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  2021年度）</w:t>
            </w:r>
          </w:p>
        </w:tc>
        <w:tc>
          <w:tcPr>
            <w:tcW w:w="72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</w:trPr>
        <w:tc>
          <w:tcPr>
            <w:tcW w:w="1851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7547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信访退役士官专项工作经费</w:t>
            </w:r>
          </w:p>
        </w:tc>
        <w:tc>
          <w:tcPr>
            <w:tcW w:w="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</w:trPr>
        <w:tc>
          <w:tcPr>
            <w:tcW w:w="1851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主管部门</w:t>
            </w:r>
          </w:p>
        </w:tc>
        <w:tc>
          <w:tcPr>
            <w:tcW w:w="237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县信访局</w:t>
            </w:r>
          </w:p>
        </w:tc>
        <w:tc>
          <w:tcPr>
            <w:tcW w:w="369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实施单位</w:t>
            </w:r>
          </w:p>
        </w:tc>
        <w:tc>
          <w:tcPr>
            <w:tcW w:w="1477" w:type="dxa"/>
            <w:gridSpan w:val="2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县信访局</w:t>
            </w:r>
          </w:p>
        </w:tc>
        <w:tc>
          <w:tcPr>
            <w:tcW w:w="722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</w:trPr>
        <w:tc>
          <w:tcPr>
            <w:tcW w:w="1851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项目属性</w:t>
            </w:r>
          </w:p>
        </w:tc>
        <w:tc>
          <w:tcPr>
            <w:tcW w:w="237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□新增项目     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延续项目</w:t>
            </w:r>
          </w:p>
        </w:tc>
        <w:tc>
          <w:tcPr>
            <w:tcW w:w="369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项目期</w:t>
            </w:r>
          </w:p>
        </w:tc>
        <w:tc>
          <w:tcPr>
            <w:tcW w:w="1477" w:type="dxa"/>
            <w:gridSpan w:val="2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722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</w:trPr>
        <w:tc>
          <w:tcPr>
            <w:tcW w:w="1851" w:type="dxa"/>
            <w:gridSpan w:val="4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项目资金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（万元）</w:t>
            </w:r>
          </w:p>
        </w:tc>
        <w:tc>
          <w:tcPr>
            <w:tcW w:w="126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中期资金总额：</w:t>
            </w:r>
          </w:p>
        </w:tc>
        <w:tc>
          <w:tcPr>
            <w:tcW w:w="11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69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年度资金总额：</w:t>
            </w:r>
          </w:p>
        </w:tc>
        <w:tc>
          <w:tcPr>
            <w:tcW w:w="1477" w:type="dxa"/>
            <w:gridSpan w:val="2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6万</w:t>
            </w:r>
          </w:p>
        </w:tc>
        <w:tc>
          <w:tcPr>
            <w:tcW w:w="722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</w:trPr>
        <w:tc>
          <w:tcPr>
            <w:tcW w:w="1851" w:type="dxa"/>
            <w:gridSpan w:val="4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6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   其中：财政拨款</w:t>
            </w:r>
          </w:p>
        </w:tc>
        <w:tc>
          <w:tcPr>
            <w:tcW w:w="11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69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     其中：财政拨款</w:t>
            </w:r>
          </w:p>
        </w:tc>
        <w:tc>
          <w:tcPr>
            <w:tcW w:w="1477" w:type="dxa"/>
            <w:gridSpan w:val="2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6万</w:t>
            </w:r>
          </w:p>
        </w:tc>
        <w:tc>
          <w:tcPr>
            <w:tcW w:w="722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</w:trPr>
        <w:tc>
          <w:tcPr>
            <w:tcW w:w="1851" w:type="dxa"/>
            <w:gridSpan w:val="4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6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         其他资金</w:t>
            </w:r>
          </w:p>
        </w:tc>
        <w:tc>
          <w:tcPr>
            <w:tcW w:w="11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69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          </w:t>
            </w:r>
            <w:r>
              <w:rPr>
                <w:rStyle w:val="47"/>
                <w:lang w:val="en-US" w:eastAsia="zh-CN" w:bidi="ar"/>
              </w:rPr>
              <w:t xml:space="preserve"> 其他资金</w:t>
            </w:r>
          </w:p>
        </w:tc>
        <w:tc>
          <w:tcPr>
            <w:tcW w:w="1477" w:type="dxa"/>
            <w:gridSpan w:val="2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22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</w:trPr>
        <w:tc>
          <w:tcPr>
            <w:tcW w:w="41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总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体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目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标</w:t>
            </w:r>
          </w:p>
        </w:tc>
        <w:tc>
          <w:tcPr>
            <w:tcW w:w="3812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中期目标（20××年—20××+n年）</w:t>
            </w:r>
          </w:p>
        </w:tc>
        <w:tc>
          <w:tcPr>
            <w:tcW w:w="517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年度目标</w:t>
            </w:r>
          </w:p>
        </w:tc>
        <w:tc>
          <w:tcPr>
            <w:tcW w:w="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</w:trPr>
        <w:tc>
          <w:tcPr>
            <w:tcW w:w="41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812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517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目标1：支付退役士官工资及保险、公积金</w:t>
            </w:r>
          </w:p>
        </w:tc>
        <w:tc>
          <w:tcPr>
            <w:tcW w:w="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</w:trPr>
        <w:tc>
          <w:tcPr>
            <w:tcW w:w="41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绩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效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指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标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一级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指标</w:t>
            </w:r>
          </w:p>
        </w:tc>
        <w:tc>
          <w:tcPr>
            <w:tcW w:w="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二级指标</w:t>
            </w:r>
          </w:p>
        </w:tc>
        <w:tc>
          <w:tcPr>
            <w:tcW w:w="126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三级指标</w:t>
            </w:r>
          </w:p>
        </w:tc>
        <w:tc>
          <w:tcPr>
            <w:tcW w:w="53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指标值</w:t>
            </w:r>
          </w:p>
        </w:tc>
        <w:tc>
          <w:tcPr>
            <w:tcW w:w="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绩效标准</w:t>
            </w:r>
          </w:p>
        </w:tc>
        <w:tc>
          <w:tcPr>
            <w:tcW w:w="2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二级指标</w:t>
            </w:r>
          </w:p>
        </w:tc>
        <w:tc>
          <w:tcPr>
            <w:tcW w:w="14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三级指标</w:t>
            </w:r>
          </w:p>
        </w:tc>
        <w:tc>
          <w:tcPr>
            <w:tcW w:w="7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指标值</w:t>
            </w:r>
          </w:p>
        </w:tc>
        <w:tc>
          <w:tcPr>
            <w:tcW w:w="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绩效标准</w:t>
            </w:r>
          </w:p>
        </w:tc>
        <w:tc>
          <w:tcPr>
            <w:tcW w:w="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</w:trPr>
        <w:tc>
          <w:tcPr>
            <w:tcW w:w="41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0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产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出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指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标</w:t>
            </w:r>
          </w:p>
        </w:tc>
        <w:tc>
          <w:tcPr>
            <w:tcW w:w="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数量指标</w:t>
            </w:r>
          </w:p>
        </w:tc>
        <w:tc>
          <w:tcPr>
            <w:tcW w:w="126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指标1：</w:t>
            </w:r>
          </w:p>
        </w:tc>
        <w:tc>
          <w:tcPr>
            <w:tcW w:w="53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数量指标</w:t>
            </w:r>
          </w:p>
        </w:tc>
        <w:tc>
          <w:tcPr>
            <w:tcW w:w="14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指标1：退役士官工资及保险、公积金</w:t>
            </w:r>
          </w:p>
        </w:tc>
        <w:tc>
          <w:tcPr>
            <w:tcW w:w="7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6万</w:t>
            </w:r>
          </w:p>
        </w:tc>
        <w:tc>
          <w:tcPr>
            <w:tcW w:w="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实际支付</w:t>
            </w:r>
          </w:p>
        </w:tc>
        <w:tc>
          <w:tcPr>
            <w:tcW w:w="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</w:trPr>
        <w:tc>
          <w:tcPr>
            <w:tcW w:w="41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质量指标</w:t>
            </w:r>
          </w:p>
        </w:tc>
        <w:tc>
          <w:tcPr>
            <w:tcW w:w="126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指标1：</w:t>
            </w:r>
          </w:p>
        </w:tc>
        <w:tc>
          <w:tcPr>
            <w:tcW w:w="53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质量指标</w:t>
            </w:r>
          </w:p>
        </w:tc>
        <w:tc>
          <w:tcPr>
            <w:tcW w:w="14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指标1：完成就业安置</w:t>
            </w:r>
          </w:p>
        </w:tc>
        <w:tc>
          <w:tcPr>
            <w:tcW w:w="7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1人</w:t>
            </w:r>
          </w:p>
        </w:tc>
        <w:tc>
          <w:tcPr>
            <w:tcW w:w="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实际安置</w:t>
            </w:r>
          </w:p>
        </w:tc>
        <w:tc>
          <w:tcPr>
            <w:tcW w:w="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</w:trPr>
        <w:tc>
          <w:tcPr>
            <w:tcW w:w="41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时效指标</w:t>
            </w:r>
          </w:p>
        </w:tc>
        <w:tc>
          <w:tcPr>
            <w:tcW w:w="126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指标1：</w:t>
            </w:r>
          </w:p>
        </w:tc>
        <w:tc>
          <w:tcPr>
            <w:tcW w:w="53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时效指标</w:t>
            </w:r>
          </w:p>
        </w:tc>
        <w:tc>
          <w:tcPr>
            <w:tcW w:w="14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指标1：按月足额支付</w:t>
            </w:r>
          </w:p>
        </w:tc>
        <w:tc>
          <w:tcPr>
            <w:tcW w:w="7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6万/年</w:t>
            </w:r>
          </w:p>
        </w:tc>
        <w:tc>
          <w:tcPr>
            <w:tcW w:w="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实际支付</w:t>
            </w:r>
          </w:p>
        </w:tc>
        <w:tc>
          <w:tcPr>
            <w:tcW w:w="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</w:trPr>
        <w:tc>
          <w:tcPr>
            <w:tcW w:w="41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成本指标</w:t>
            </w:r>
          </w:p>
        </w:tc>
        <w:tc>
          <w:tcPr>
            <w:tcW w:w="126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指标1：</w:t>
            </w:r>
          </w:p>
        </w:tc>
        <w:tc>
          <w:tcPr>
            <w:tcW w:w="53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成本指标</w:t>
            </w:r>
          </w:p>
        </w:tc>
        <w:tc>
          <w:tcPr>
            <w:tcW w:w="14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指标1：县人社核定专项岗位工资标准</w:t>
            </w:r>
          </w:p>
        </w:tc>
        <w:tc>
          <w:tcPr>
            <w:tcW w:w="7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6万/人</w:t>
            </w:r>
          </w:p>
        </w:tc>
        <w:tc>
          <w:tcPr>
            <w:tcW w:w="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实际核定</w:t>
            </w:r>
          </w:p>
        </w:tc>
        <w:tc>
          <w:tcPr>
            <w:tcW w:w="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</w:trPr>
        <w:tc>
          <w:tcPr>
            <w:tcW w:w="41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0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效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益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指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标</w:t>
            </w:r>
          </w:p>
        </w:tc>
        <w:tc>
          <w:tcPr>
            <w:tcW w:w="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经济效益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指标</w:t>
            </w:r>
          </w:p>
        </w:tc>
        <w:tc>
          <w:tcPr>
            <w:tcW w:w="126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指标1：</w:t>
            </w:r>
          </w:p>
        </w:tc>
        <w:tc>
          <w:tcPr>
            <w:tcW w:w="53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经济效益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指标</w:t>
            </w:r>
          </w:p>
        </w:tc>
        <w:tc>
          <w:tcPr>
            <w:tcW w:w="14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指标1：增加安置人员收入</w:t>
            </w:r>
          </w:p>
        </w:tc>
        <w:tc>
          <w:tcPr>
            <w:tcW w:w="7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6万</w:t>
            </w:r>
          </w:p>
        </w:tc>
        <w:tc>
          <w:tcPr>
            <w:tcW w:w="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实际支付</w:t>
            </w:r>
          </w:p>
        </w:tc>
        <w:tc>
          <w:tcPr>
            <w:tcW w:w="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</w:trPr>
        <w:tc>
          <w:tcPr>
            <w:tcW w:w="41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社会效益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指标</w:t>
            </w:r>
          </w:p>
        </w:tc>
        <w:tc>
          <w:tcPr>
            <w:tcW w:w="126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指标1：</w:t>
            </w:r>
          </w:p>
        </w:tc>
        <w:tc>
          <w:tcPr>
            <w:tcW w:w="53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社会效益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指标</w:t>
            </w:r>
          </w:p>
        </w:tc>
        <w:tc>
          <w:tcPr>
            <w:tcW w:w="14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指标1：退役军人得到妥善安置</w:t>
            </w:r>
          </w:p>
        </w:tc>
        <w:tc>
          <w:tcPr>
            <w:tcW w:w="7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1人</w:t>
            </w:r>
          </w:p>
        </w:tc>
        <w:tc>
          <w:tcPr>
            <w:tcW w:w="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实地调查</w:t>
            </w:r>
          </w:p>
        </w:tc>
        <w:tc>
          <w:tcPr>
            <w:tcW w:w="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</w:trPr>
        <w:tc>
          <w:tcPr>
            <w:tcW w:w="41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可持续影响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指标</w:t>
            </w:r>
          </w:p>
        </w:tc>
        <w:tc>
          <w:tcPr>
            <w:tcW w:w="126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指标1：</w:t>
            </w:r>
          </w:p>
        </w:tc>
        <w:tc>
          <w:tcPr>
            <w:tcW w:w="53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可持续影响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指标</w:t>
            </w:r>
          </w:p>
        </w:tc>
        <w:tc>
          <w:tcPr>
            <w:tcW w:w="14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指标1：稳定了退役军人的工作及收入</w:t>
            </w:r>
          </w:p>
        </w:tc>
        <w:tc>
          <w:tcPr>
            <w:tcW w:w="7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1人</w:t>
            </w:r>
          </w:p>
        </w:tc>
        <w:tc>
          <w:tcPr>
            <w:tcW w:w="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实地调查</w:t>
            </w:r>
          </w:p>
        </w:tc>
        <w:tc>
          <w:tcPr>
            <w:tcW w:w="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</w:trPr>
        <w:tc>
          <w:tcPr>
            <w:tcW w:w="41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满意度指标</w:t>
            </w:r>
          </w:p>
        </w:tc>
        <w:tc>
          <w:tcPr>
            <w:tcW w:w="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服务对象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满意度指标</w:t>
            </w:r>
          </w:p>
        </w:tc>
        <w:tc>
          <w:tcPr>
            <w:tcW w:w="126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指标1：</w:t>
            </w:r>
          </w:p>
        </w:tc>
        <w:tc>
          <w:tcPr>
            <w:tcW w:w="53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服务对象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满意度指标</w:t>
            </w:r>
          </w:p>
        </w:tc>
        <w:tc>
          <w:tcPr>
            <w:tcW w:w="14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指标1：退役士官满意度</w:t>
            </w:r>
          </w:p>
        </w:tc>
        <w:tc>
          <w:tcPr>
            <w:tcW w:w="7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实地调查</w:t>
            </w:r>
          </w:p>
        </w:tc>
        <w:tc>
          <w:tcPr>
            <w:tcW w:w="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</w:tbl>
    <w:p>
      <w:pPr>
        <w:pStyle w:val="13"/>
        <w:numPr>
          <w:ilvl w:val="0"/>
          <w:numId w:val="0"/>
        </w:numPr>
        <w:shd w:val="clear" w:color="auto" w:fill="auto"/>
        <w:spacing w:before="0" w:after="0" w:line="360" w:lineRule="auto"/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bookmarkStart w:id="0" w:name="_GoBack"/>
      <w:bookmarkEnd w:id="0"/>
    </w:p>
    <w:p>
      <w:pPr>
        <w:pStyle w:val="11"/>
        <w:numPr>
          <w:ilvl w:val="0"/>
          <w:numId w:val="4"/>
        </w:numPr>
        <w:shd w:val="clear" w:color="auto" w:fill="auto"/>
        <w:tabs>
          <w:tab w:val="left" w:pos="1316"/>
        </w:tabs>
        <w:spacing w:after="0" w:line="360" w:lineRule="auto"/>
        <w:ind w:left="0" w:leftChars="0" w:firstLine="763" w:firstLineChars="200"/>
        <w:jc w:val="both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其他重要事项情况说明</w:t>
      </w:r>
    </w:p>
    <w:p>
      <w:pPr>
        <w:pStyle w:val="11"/>
        <w:shd w:val="clear" w:color="auto" w:fill="auto"/>
        <w:tabs>
          <w:tab w:val="left" w:pos="1673"/>
        </w:tabs>
        <w:spacing w:after="0" w:line="360" w:lineRule="auto"/>
        <w:ind w:firstLine="763" w:firstLineChars="200"/>
        <w:jc w:val="both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（一）</w:t>
      </w:r>
      <w:r>
        <w:rPr>
          <w:rFonts w:hint="eastAsia" w:ascii="仿宋" w:hAnsi="仿宋" w:eastAsia="仿宋" w:cs="仿宋"/>
          <w:sz w:val="32"/>
          <w:szCs w:val="32"/>
        </w:rPr>
        <w:tab/>
      </w:r>
      <w:r>
        <w:rPr>
          <w:rFonts w:hint="eastAsia" w:ascii="仿宋" w:hAnsi="仿宋" w:eastAsia="仿宋" w:cs="仿宋"/>
          <w:sz w:val="32"/>
          <w:szCs w:val="32"/>
        </w:rPr>
        <w:t>机关运行经费。</w:t>
      </w:r>
    </w:p>
    <w:p>
      <w:pPr>
        <w:pStyle w:val="13"/>
        <w:shd w:val="clear" w:color="auto" w:fill="auto"/>
        <w:spacing w:before="0" w:after="0" w:line="360" w:lineRule="auto"/>
        <w:ind w:firstLine="760" w:firstLineChars="200"/>
        <w:jc w:val="both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石台县信访局20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21</w:t>
      </w:r>
      <w:r>
        <w:rPr>
          <w:rFonts w:hint="eastAsia" w:ascii="仿宋" w:hAnsi="仿宋" w:eastAsia="仿宋" w:cs="仿宋"/>
          <w:sz w:val="32"/>
          <w:szCs w:val="32"/>
        </w:rPr>
        <w:t>年机关运行经费财政拨款预算</w:t>
      </w:r>
      <w:r>
        <w:rPr>
          <w:rFonts w:hint="eastAsia" w:ascii="仿宋" w:hAnsi="仿宋" w:eastAsia="仿宋" w:cs="仿宋"/>
          <w:sz w:val="32"/>
          <w:szCs w:val="32"/>
          <w:lang w:val="en-US"/>
        </w:rPr>
        <w:t>6.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01</w:t>
      </w:r>
      <w:r>
        <w:rPr>
          <w:rFonts w:hint="eastAsia" w:ascii="仿宋" w:hAnsi="仿宋" w:eastAsia="仿宋" w:cs="仿宋"/>
          <w:sz w:val="32"/>
          <w:szCs w:val="32"/>
        </w:rPr>
        <w:t>万元，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比2020年减少0.19万元，下降3.06%，下降</w:t>
      </w:r>
      <w:r>
        <w:rPr>
          <w:rFonts w:hint="eastAsia" w:ascii="仿宋" w:hAnsi="仿宋" w:eastAsia="仿宋" w:cs="仿宋"/>
          <w:sz w:val="32"/>
          <w:szCs w:val="32"/>
        </w:rPr>
        <w:t>主要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原因是坚持过紧日子，进一步减少办公用房水电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费、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日常运转办公费等日常支行支出。</w:t>
      </w:r>
    </w:p>
    <w:p>
      <w:pPr>
        <w:pStyle w:val="11"/>
        <w:shd w:val="clear" w:color="auto" w:fill="auto"/>
        <w:tabs>
          <w:tab w:val="left" w:pos="1673"/>
        </w:tabs>
        <w:spacing w:after="0" w:line="360" w:lineRule="auto"/>
        <w:ind w:firstLine="763" w:firstLineChars="200"/>
        <w:jc w:val="both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（二）</w:t>
      </w:r>
      <w:r>
        <w:rPr>
          <w:rFonts w:hint="eastAsia" w:ascii="仿宋" w:hAnsi="仿宋" w:eastAsia="仿宋" w:cs="仿宋"/>
          <w:sz w:val="32"/>
          <w:szCs w:val="32"/>
        </w:rPr>
        <w:tab/>
      </w:r>
      <w:r>
        <w:rPr>
          <w:rFonts w:hint="eastAsia" w:ascii="仿宋" w:hAnsi="仿宋" w:eastAsia="仿宋" w:cs="仿宋"/>
          <w:sz w:val="32"/>
          <w:szCs w:val="32"/>
        </w:rPr>
        <w:t>政府采购情况。</w:t>
      </w:r>
    </w:p>
    <w:p>
      <w:pPr>
        <w:pStyle w:val="13"/>
        <w:shd w:val="clear" w:color="auto" w:fill="auto"/>
        <w:spacing w:before="0" w:after="0" w:line="360" w:lineRule="auto"/>
        <w:ind w:firstLine="760" w:firstLineChars="200"/>
        <w:jc w:val="both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石台县信访局20</w:t>
      </w:r>
      <w:r>
        <w:rPr>
          <w:rFonts w:hint="eastAsia" w:ascii="仿宋" w:hAnsi="仿宋" w:eastAsia="仿宋" w:cs="仿宋"/>
          <w:sz w:val="32"/>
          <w:szCs w:val="32"/>
          <w:lang w:val="en-US"/>
        </w:rPr>
        <w:t>2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</w:t>
      </w:r>
      <w:r>
        <w:rPr>
          <w:rFonts w:hint="eastAsia" w:ascii="仿宋" w:hAnsi="仿宋" w:eastAsia="仿宋" w:cs="仿宋"/>
          <w:sz w:val="32"/>
          <w:szCs w:val="32"/>
        </w:rPr>
        <w:t>年政府采购预算总额</w:t>
      </w:r>
      <w:r>
        <w:rPr>
          <w:rFonts w:hint="eastAsia" w:ascii="仿宋" w:hAnsi="仿宋" w:eastAsia="仿宋" w:cs="仿宋"/>
          <w:sz w:val="32"/>
          <w:szCs w:val="32"/>
          <w:lang w:val="en-US"/>
        </w:rPr>
        <w:t>1</w:t>
      </w:r>
      <w:r>
        <w:rPr>
          <w:rFonts w:hint="eastAsia" w:ascii="仿宋" w:hAnsi="仿宋" w:eastAsia="仿宋" w:cs="仿宋"/>
          <w:sz w:val="32"/>
          <w:szCs w:val="32"/>
        </w:rPr>
        <w:t>万元。其中：政府采购货物预算</w:t>
      </w:r>
      <w:r>
        <w:rPr>
          <w:rFonts w:hint="eastAsia" w:ascii="仿宋" w:hAnsi="仿宋" w:eastAsia="仿宋" w:cs="仿宋"/>
          <w:sz w:val="32"/>
          <w:szCs w:val="32"/>
          <w:lang w:val="en-US"/>
        </w:rPr>
        <w:t>1</w:t>
      </w:r>
      <w:r>
        <w:rPr>
          <w:rFonts w:hint="eastAsia" w:ascii="仿宋" w:hAnsi="仿宋" w:eastAsia="仿宋" w:cs="仿宋"/>
          <w:sz w:val="32"/>
          <w:szCs w:val="32"/>
        </w:rPr>
        <w:t>万元，无政府采购服务预算。</w:t>
      </w:r>
    </w:p>
    <w:p>
      <w:pPr>
        <w:pStyle w:val="11"/>
        <w:shd w:val="clear" w:color="auto" w:fill="auto"/>
        <w:tabs>
          <w:tab w:val="left" w:pos="1673"/>
        </w:tabs>
        <w:spacing w:after="0" w:line="360" w:lineRule="auto"/>
        <w:ind w:firstLine="763" w:firstLineChars="200"/>
        <w:jc w:val="both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（三）</w:t>
      </w:r>
      <w:r>
        <w:rPr>
          <w:rFonts w:hint="eastAsia" w:ascii="仿宋" w:hAnsi="仿宋" w:eastAsia="仿宋" w:cs="仿宋"/>
          <w:sz w:val="32"/>
          <w:szCs w:val="32"/>
        </w:rPr>
        <w:tab/>
      </w:r>
      <w:r>
        <w:rPr>
          <w:rFonts w:hint="eastAsia" w:ascii="仿宋" w:hAnsi="仿宋" w:eastAsia="仿宋" w:cs="仿宋"/>
          <w:sz w:val="32"/>
          <w:szCs w:val="32"/>
        </w:rPr>
        <w:t>国有资产占用使用情况。</w:t>
      </w:r>
    </w:p>
    <w:p>
      <w:pPr>
        <w:pStyle w:val="13"/>
        <w:shd w:val="clear" w:color="auto" w:fill="auto"/>
        <w:spacing w:before="0" w:after="0" w:line="360" w:lineRule="auto"/>
        <w:ind w:firstLine="760" w:firstLineChars="200"/>
        <w:jc w:val="both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石台县信访局有公务用车</w:t>
      </w:r>
      <w:r>
        <w:rPr>
          <w:rFonts w:hint="eastAsia" w:ascii="仿宋" w:hAnsi="仿宋" w:eastAsia="仿宋" w:cs="仿宋"/>
          <w:sz w:val="32"/>
          <w:szCs w:val="32"/>
          <w:lang w:val="en-US"/>
        </w:rPr>
        <w:t>0辆</w:t>
      </w:r>
      <w:r>
        <w:rPr>
          <w:rFonts w:hint="eastAsia" w:ascii="仿宋" w:hAnsi="仿宋" w:eastAsia="仿宋" w:cs="仿宋"/>
          <w:sz w:val="32"/>
          <w:szCs w:val="32"/>
        </w:rPr>
        <w:t>，单位价值50万元以上的通用设备单位</w:t>
      </w:r>
      <w:r>
        <w:rPr>
          <w:rFonts w:hint="eastAsia" w:ascii="仿宋" w:hAnsi="仿宋" w:eastAsia="仿宋" w:cs="仿宋"/>
          <w:sz w:val="32"/>
          <w:szCs w:val="32"/>
          <w:lang w:val="en-US"/>
        </w:rPr>
        <w:t>0个，</w:t>
      </w:r>
      <w:r>
        <w:rPr>
          <w:rFonts w:hint="eastAsia" w:ascii="仿宋" w:hAnsi="仿宋" w:eastAsia="仿宋" w:cs="仿宋"/>
          <w:sz w:val="32"/>
          <w:szCs w:val="32"/>
        </w:rPr>
        <w:t>价值100万元以上的专用设备</w:t>
      </w:r>
      <w:r>
        <w:rPr>
          <w:rFonts w:hint="eastAsia" w:ascii="仿宋" w:hAnsi="仿宋" w:eastAsia="仿宋" w:cs="仿宋"/>
          <w:sz w:val="32"/>
          <w:szCs w:val="32"/>
          <w:lang w:val="en-US"/>
        </w:rPr>
        <w:t>0个</w:t>
      </w:r>
      <w:r>
        <w:rPr>
          <w:rFonts w:hint="eastAsia" w:ascii="仿宋" w:hAnsi="仿宋" w:eastAsia="仿宋" w:cs="仿宋"/>
          <w:sz w:val="32"/>
          <w:szCs w:val="32"/>
        </w:rPr>
        <w:t>。</w:t>
      </w:r>
    </w:p>
    <w:p>
      <w:pPr>
        <w:pStyle w:val="13"/>
        <w:shd w:val="clear" w:color="auto" w:fill="auto"/>
        <w:spacing w:before="0" w:after="0" w:line="360" w:lineRule="auto"/>
        <w:ind w:firstLine="760" w:firstLineChars="200"/>
        <w:jc w:val="both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20</w:t>
      </w:r>
      <w:r>
        <w:rPr>
          <w:rFonts w:hint="eastAsia" w:ascii="仿宋" w:hAnsi="仿宋" w:eastAsia="仿宋" w:cs="仿宋"/>
          <w:sz w:val="32"/>
          <w:szCs w:val="32"/>
          <w:lang w:val="en-US"/>
        </w:rPr>
        <w:t>2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</w:t>
      </w:r>
      <w:r>
        <w:rPr>
          <w:rFonts w:hint="eastAsia" w:ascii="仿宋" w:hAnsi="仿宋" w:eastAsia="仿宋" w:cs="仿宋"/>
          <w:sz w:val="32"/>
          <w:szCs w:val="32"/>
        </w:rPr>
        <w:t>年部门预算安排公务用车购置</w:t>
      </w:r>
      <w:r>
        <w:rPr>
          <w:rFonts w:hint="eastAsia" w:ascii="仿宋" w:hAnsi="仿宋" w:eastAsia="仿宋" w:cs="仿宋"/>
          <w:sz w:val="32"/>
          <w:szCs w:val="32"/>
          <w:lang w:val="en-US"/>
        </w:rPr>
        <w:t>0万元，购置公务用车0辆</w:t>
      </w:r>
      <w:r>
        <w:rPr>
          <w:rFonts w:hint="eastAsia" w:ascii="仿宋" w:hAnsi="仿宋" w:eastAsia="仿宋" w:cs="仿宋"/>
          <w:sz w:val="32"/>
          <w:szCs w:val="32"/>
        </w:rPr>
        <w:t>，安排购置单位价值50万元以上的通用设备</w:t>
      </w:r>
      <w:r>
        <w:rPr>
          <w:rFonts w:hint="eastAsia" w:ascii="仿宋" w:hAnsi="仿宋" w:eastAsia="仿宋" w:cs="仿宋"/>
          <w:sz w:val="32"/>
          <w:szCs w:val="32"/>
          <w:lang w:val="en-US"/>
        </w:rPr>
        <w:t>0个，安排购置</w:t>
      </w:r>
      <w:r>
        <w:rPr>
          <w:rFonts w:hint="eastAsia" w:ascii="仿宋" w:hAnsi="仿宋" w:eastAsia="仿宋" w:cs="仿宋"/>
          <w:sz w:val="32"/>
          <w:szCs w:val="32"/>
        </w:rPr>
        <w:t>单位价值100万元以上专用设备</w:t>
      </w:r>
      <w:r>
        <w:rPr>
          <w:rFonts w:hint="eastAsia" w:ascii="仿宋" w:hAnsi="仿宋" w:eastAsia="仿宋" w:cs="仿宋"/>
          <w:sz w:val="32"/>
          <w:szCs w:val="32"/>
          <w:lang w:val="en-US"/>
        </w:rPr>
        <w:t>0个</w:t>
      </w:r>
      <w:r>
        <w:rPr>
          <w:rFonts w:hint="eastAsia" w:ascii="仿宋" w:hAnsi="仿宋" w:eastAsia="仿宋" w:cs="仿宋"/>
          <w:sz w:val="32"/>
          <w:szCs w:val="32"/>
        </w:rPr>
        <w:t>。</w:t>
      </w:r>
    </w:p>
    <w:p>
      <w:pPr>
        <w:pStyle w:val="17"/>
        <w:shd w:val="clear" w:color="auto" w:fill="auto"/>
        <w:spacing w:after="0" w:line="360" w:lineRule="auto"/>
        <w:ind w:firstLine="763" w:firstLineChars="200"/>
        <w:rPr>
          <w:rFonts w:ascii="仿宋" w:hAnsi="仿宋" w:eastAsia="仿宋" w:cs="仿宋"/>
          <w:b/>
          <w:bCs/>
        </w:rPr>
      </w:pPr>
      <w:r>
        <w:rPr>
          <w:rFonts w:hint="eastAsia" w:ascii="仿宋" w:hAnsi="仿宋" w:eastAsia="仿宋" w:cs="仿宋"/>
          <w:b/>
          <w:bCs/>
        </w:rPr>
        <w:t>第三部分</w:t>
      </w:r>
      <w:r>
        <w:rPr>
          <w:rFonts w:hint="eastAsia" w:ascii="仿宋" w:hAnsi="仿宋" w:eastAsia="仿宋" w:cs="仿宋"/>
          <w:b/>
          <w:bCs/>
          <w:lang w:val="en-US"/>
        </w:rPr>
        <w:t xml:space="preserve"> </w:t>
      </w:r>
      <w:r>
        <w:rPr>
          <w:rFonts w:hint="eastAsia" w:ascii="仿宋" w:hAnsi="仿宋" w:eastAsia="仿宋" w:cs="仿宋"/>
          <w:b/>
          <w:bCs/>
        </w:rPr>
        <w:t>名词解释</w:t>
      </w:r>
    </w:p>
    <w:p>
      <w:pPr>
        <w:pStyle w:val="13"/>
        <w:shd w:val="clear" w:color="auto" w:fill="auto"/>
        <w:tabs>
          <w:tab w:val="left" w:pos="1279"/>
        </w:tabs>
        <w:spacing w:before="0" w:after="0" w:line="360" w:lineRule="auto"/>
        <w:ind w:firstLine="763" w:firstLineChars="200"/>
        <w:jc w:val="both"/>
        <w:rPr>
          <w:rFonts w:ascii="仿宋" w:hAnsi="仿宋" w:eastAsia="仿宋" w:cs="仿宋"/>
          <w:sz w:val="32"/>
          <w:szCs w:val="32"/>
        </w:rPr>
      </w:pPr>
      <w:r>
        <w:rPr>
          <w:rStyle w:val="15"/>
          <w:rFonts w:hint="eastAsia" w:ascii="仿宋" w:hAnsi="仿宋" w:eastAsia="仿宋" w:cs="仿宋"/>
          <w:sz w:val="32"/>
          <w:szCs w:val="32"/>
        </w:rPr>
        <w:t>一、</w:t>
      </w:r>
      <w:r>
        <w:rPr>
          <w:rStyle w:val="15"/>
          <w:rFonts w:hint="eastAsia" w:ascii="仿宋" w:hAnsi="仿宋" w:eastAsia="仿宋" w:cs="仿宋"/>
          <w:sz w:val="32"/>
          <w:szCs w:val="32"/>
        </w:rPr>
        <w:tab/>
      </w:r>
      <w:r>
        <w:rPr>
          <w:rStyle w:val="15"/>
          <w:rFonts w:hint="eastAsia" w:ascii="仿宋" w:hAnsi="仿宋" w:eastAsia="仿宋" w:cs="仿宋"/>
          <w:sz w:val="32"/>
          <w:szCs w:val="32"/>
        </w:rPr>
        <w:t>财政拨款收入：</w:t>
      </w:r>
      <w:r>
        <w:rPr>
          <w:rFonts w:hint="eastAsia" w:ascii="仿宋" w:hAnsi="仿宋" w:eastAsia="仿宋" w:cs="仿宋"/>
          <w:sz w:val="32"/>
          <w:szCs w:val="32"/>
        </w:rPr>
        <w:t>指县财政当年拨付的资金，主要包括一般 公共预算拨款收入和政府性基金拨款收入。</w:t>
      </w:r>
    </w:p>
    <w:p>
      <w:pPr>
        <w:pStyle w:val="13"/>
        <w:shd w:val="clear" w:color="auto" w:fill="auto"/>
        <w:tabs>
          <w:tab w:val="left" w:pos="1279"/>
        </w:tabs>
        <w:spacing w:before="0" w:after="0" w:line="360" w:lineRule="auto"/>
        <w:ind w:firstLine="763" w:firstLineChars="200"/>
        <w:jc w:val="both"/>
        <w:rPr>
          <w:rFonts w:ascii="仿宋" w:hAnsi="仿宋" w:eastAsia="仿宋" w:cs="仿宋"/>
          <w:sz w:val="32"/>
          <w:szCs w:val="32"/>
        </w:rPr>
      </w:pPr>
      <w:r>
        <w:rPr>
          <w:rStyle w:val="15"/>
          <w:rFonts w:hint="eastAsia" w:ascii="仿宋" w:hAnsi="仿宋" w:eastAsia="仿宋" w:cs="仿宋"/>
          <w:sz w:val="32"/>
          <w:szCs w:val="32"/>
        </w:rPr>
        <w:t>二、</w:t>
      </w:r>
      <w:r>
        <w:rPr>
          <w:rStyle w:val="15"/>
          <w:rFonts w:hint="eastAsia" w:ascii="仿宋" w:hAnsi="仿宋" w:eastAsia="仿宋" w:cs="仿宋"/>
          <w:sz w:val="32"/>
          <w:szCs w:val="32"/>
        </w:rPr>
        <w:tab/>
      </w:r>
      <w:r>
        <w:rPr>
          <w:rStyle w:val="15"/>
          <w:rFonts w:hint="eastAsia" w:ascii="仿宋" w:hAnsi="仿宋" w:eastAsia="仿宋" w:cs="仿宋"/>
          <w:sz w:val="32"/>
          <w:szCs w:val="32"/>
        </w:rPr>
        <w:t>基本支出：</w:t>
      </w:r>
      <w:r>
        <w:rPr>
          <w:rFonts w:hint="eastAsia" w:ascii="仿宋" w:hAnsi="仿宋" w:eastAsia="仿宋" w:cs="仿宋"/>
          <w:sz w:val="32"/>
          <w:szCs w:val="32"/>
        </w:rPr>
        <w:t>指为保障机构正常运转、完成日常工作任务而发生的人员支出和公用支出。</w:t>
      </w:r>
    </w:p>
    <w:p>
      <w:pPr>
        <w:pStyle w:val="13"/>
        <w:shd w:val="clear" w:color="auto" w:fill="auto"/>
        <w:tabs>
          <w:tab w:val="left" w:pos="1279"/>
        </w:tabs>
        <w:spacing w:before="0" w:after="0" w:line="360" w:lineRule="auto"/>
        <w:ind w:firstLine="763" w:firstLineChars="200"/>
        <w:jc w:val="both"/>
        <w:rPr>
          <w:rFonts w:ascii="仿宋" w:hAnsi="仿宋" w:eastAsia="仿宋" w:cs="仿宋"/>
          <w:sz w:val="32"/>
          <w:szCs w:val="32"/>
        </w:rPr>
      </w:pPr>
      <w:r>
        <w:rPr>
          <w:rStyle w:val="15"/>
          <w:rFonts w:hint="eastAsia" w:ascii="仿宋" w:hAnsi="仿宋" w:eastAsia="仿宋" w:cs="仿宋"/>
          <w:sz w:val="32"/>
          <w:szCs w:val="32"/>
        </w:rPr>
        <w:t>三、</w:t>
      </w:r>
      <w:r>
        <w:rPr>
          <w:rStyle w:val="15"/>
          <w:rFonts w:hint="eastAsia" w:ascii="仿宋" w:hAnsi="仿宋" w:eastAsia="仿宋" w:cs="仿宋"/>
          <w:sz w:val="32"/>
          <w:szCs w:val="32"/>
        </w:rPr>
        <w:tab/>
      </w:r>
      <w:r>
        <w:rPr>
          <w:rStyle w:val="15"/>
          <w:rFonts w:hint="eastAsia" w:ascii="仿宋" w:hAnsi="仿宋" w:eastAsia="仿宋" w:cs="仿宋"/>
          <w:sz w:val="32"/>
          <w:szCs w:val="32"/>
        </w:rPr>
        <w:t>项目支出：</w:t>
      </w:r>
      <w:r>
        <w:rPr>
          <w:rFonts w:hint="eastAsia" w:ascii="仿宋" w:hAnsi="仿宋" w:eastAsia="仿宋" w:cs="仿宋"/>
          <w:sz w:val="32"/>
          <w:szCs w:val="32"/>
        </w:rPr>
        <w:t>指在基本支出之外为完成特定行政任务和事业 发展目标所发生的支出。</w:t>
      </w:r>
    </w:p>
    <w:p>
      <w:pPr>
        <w:pStyle w:val="13"/>
        <w:shd w:val="clear" w:color="auto" w:fill="auto"/>
        <w:tabs>
          <w:tab w:val="left" w:pos="1280"/>
        </w:tabs>
        <w:spacing w:before="0" w:after="0" w:line="360" w:lineRule="auto"/>
        <w:ind w:firstLine="763" w:firstLineChars="200"/>
        <w:jc w:val="both"/>
        <w:rPr>
          <w:rFonts w:ascii="仿宋" w:hAnsi="仿宋" w:eastAsia="仿宋" w:cs="仿宋"/>
          <w:sz w:val="32"/>
          <w:szCs w:val="32"/>
        </w:rPr>
      </w:pPr>
      <w:r>
        <w:rPr>
          <w:rStyle w:val="15"/>
          <w:rFonts w:hint="eastAsia" w:ascii="仿宋" w:hAnsi="仿宋" w:eastAsia="仿宋" w:cs="仿宋"/>
          <w:sz w:val="32"/>
          <w:szCs w:val="32"/>
        </w:rPr>
        <w:t>四、</w:t>
      </w:r>
      <w:r>
        <w:rPr>
          <w:rStyle w:val="15"/>
          <w:rFonts w:hint="eastAsia" w:ascii="仿宋" w:hAnsi="仿宋" w:eastAsia="仿宋" w:cs="仿宋"/>
          <w:sz w:val="32"/>
          <w:szCs w:val="32"/>
        </w:rPr>
        <w:tab/>
      </w:r>
      <w:r>
        <w:rPr>
          <w:rStyle w:val="15"/>
          <w:rFonts w:hint="eastAsia" w:ascii="仿宋" w:hAnsi="仿宋" w:eastAsia="仿宋" w:cs="仿宋"/>
          <w:sz w:val="32"/>
          <w:szCs w:val="32"/>
        </w:rPr>
        <w:t>机关运行经费：</w:t>
      </w:r>
      <w:r>
        <w:rPr>
          <w:rFonts w:hint="eastAsia" w:ascii="仿宋" w:hAnsi="仿宋" w:eastAsia="仿宋" w:cs="仿宋"/>
          <w:sz w:val="32"/>
          <w:szCs w:val="32"/>
        </w:rPr>
        <w:t>指各部门的公用经费，包括办公及印刷费、 邮电费、差旅费、会议费、福利费、日常维修费、专用材料及一般设备购置费、办公用房水电费、办公用房取暖费、办公用房物业管理费、公务用车运行维护费以及其他费用。</w:t>
      </w:r>
    </w:p>
    <w:p>
      <w:pPr>
        <w:pStyle w:val="11"/>
        <w:shd w:val="clear" w:color="auto" w:fill="auto"/>
        <w:spacing w:after="0" w:line="538" w:lineRule="exact"/>
        <w:jc w:val="center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第四部分</w:t>
      </w:r>
      <w:r>
        <w:rPr>
          <w:rFonts w:hint="eastAsia" w:ascii="仿宋" w:hAnsi="仿宋" w:eastAsia="仿宋" w:cs="仿宋"/>
          <w:sz w:val="32"/>
          <w:szCs w:val="32"/>
          <w:lang w:val="en-US"/>
        </w:rPr>
        <w:t xml:space="preserve"> </w:t>
      </w:r>
      <w:r>
        <w:rPr>
          <w:rFonts w:hint="eastAsia" w:ascii="仿宋" w:hAnsi="仿宋" w:eastAsia="仿宋" w:cs="仿宋"/>
          <w:sz w:val="32"/>
          <w:szCs w:val="32"/>
        </w:rPr>
        <w:t>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21</w:t>
      </w:r>
      <w:r>
        <w:rPr>
          <w:rFonts w:hint="eastAsia" w:ascii="仿宋" w:hAnsi="仿宋" w:eastAsia="仿宋" w:cs="仿宋"/>
          <w:sz w:val="32"/>
          <w:szCs w:val="32"/>
        </w:rPr>
        <w:t>年部门预算表（附表）</w:t>
      </w:r>
    </w:p>
    <w:p>
      <w:pPr>
        <w:pStyle w:val="13"/>
        <w:numPr>
          <w:ilvl w:val="0"/>
          <w:numId w:val="8"/>
        </w:numPr>
        <w:shd w:val="clear" w:color="auto" w:fill="auto"/>
        <w:tabs>
          <w:tab w:val="left" w:pos="382"/>
        </w:tabs>
        <w:spacing w:before="0" w:after="0" w:line="538" w:lineRule="exact"/>
        <w:ind w:firstLine="0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20</w:t>
      </w:r>
      <w:r>
        <w:rPr>
          <w:rFonts w:hint="eastAsia" w:ascii="仿宋" w:hAnsi="仿宋" w:eastAsia="仿宋" w:cs="仿宋"/>
          <w:sz w:val="32"/>
          <w:szCs w:val="32"/>
          <w:lang w:val="en-US"/>
        </w:rPr>
        <w:t>2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</w:t>
      </w:r>
      <w:r>
        <w:rPr>
          <w:rFonts w:hint="eastAsia" w:ascii="仿宋" w:hAnsi="仿宋" w:eastAsia="仿宋" w:cs="仿宋"/>
          <w:sz w:val="32"/>
          <w:szCs w:val="32"/>
        </w:rPr>
        <w:t>年部门财政拨款收支预算总表</w:t>
      </w:r>
    </w:p>
    <w:p>
      <w:pPr>
        <w:pStyle w:val="13"/>
        <w:numPr>
          <w:ilvl w:val="0"/>
          <w:numId w:val="8"/>
        </w:numPr>
        <w:shd w:val="clear" w:color="auto" w:fill="auto"/>
        <w:tabs>
          <w:tab w:val="left" w:pos="392"/>
        </w:tabs>
        <w:spacing w:before="0" w:after="0" w:line="538" w:lineRule="exact"/>
        <w:ind w:firstLine="0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20</w:t>
      </w:r>
      <w:r>
        <w:rPr>
          <w:rFonts w:hint="eastAsia" w:ascii="仿宋" w:hAnsi="仿宋" w:eastAsia="仿宋" w:cs="仿宋"/>
          <w:sz w:val="32"/>
          <w:szCs w:val="32"/>
          <w:lang w:val="en-US"/>
        </w:rPr>
        <w:t>2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</w:t>
      </w:r>
      <w:r>
        <w:rPr>
          <w:rFonts w:hint="eastAsia" w:ascii="仿宋" w:hAnsi="仿宋" w:eastAsia="仿宋" w:cs="仿宋"/>
          <w:sz w:val="32"/>
          <w:szCs w:val="32"/>
        </w:rPr>
        <w:t>年部门一般公共预算支出预算表</w:t>
      </w:r>
    </w:p>
    <w:p>
      <w:pPr>
        <w:pStyle w:val="13"/>
        <w:numPr>
          <w:ilvl w:val="0"/>
          <w:numId w:val="8"/>
        </w:numPr>
        <w:shd w:val="clear" w:color="auto" w:fill="auto"/>
        <w:tabs>
          <w:tab w:val="left" w:pos="392"/>
        </w:tabs>
        <w:spacing w:before="0" w:after="0" w:line="538" w:lineRule="exact"/>
        <w:ind w:firstLine="0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20</w:t>
      </w:r>
      <w:r>
        <w:rPr>
          <w:rFonts w:hint="eastAsia" w:ascii="仿宋" w:hAnsi="仿宋" w:eastAsia="仿宋" w:cs="仿宋"/>
          <w:sz w:val="32"/>
          <w:szCs w:val="32"/>
          <w:lang w:val="en-US"/>
        </w:rPr>
        <w:t>2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</w:t>
      </w:r>
      <w:r>
        <w:rPr>
          <w:rFonts w:hint="eastAsia" w:ascii="仿宋" w:hAnsi="仿宋" w:eastAsia="仿宋" w:cs="仿宋"/>
          <w:sz w:val="32"/>
          <w:szCs w:val="32"/>
        </w:rPr>
        <w:t>年部门一般公共预算基本支出预算表</w:t>
      </w:r>
    </w:p>
    <w:p>
      <w:pPr>
        <w:pStyle w:val="13"/>
        <w:numPr>
          <w:ilvl w:val="0"/>
          <w:numId w:val="8"/>
        </w:numPr>
        <w:shd w:val="clear" w:color="auto" w:fill="auto"/>
        <w:tabs>
          <w:tab w:val="left" w:pos="392"/>
        </w:tabs>
        <w:spacing w:before="0" w:after="0" w:line="538" w:lineRule="exact"/>
        <w:ind w:firstLine="0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20</w:t>
      </w:r>
      <w:r>
        <w:rPr>
          <w:rFonts w:hint="eastAsia" w:ascii="仿宋" w:hAnsi="仿宋" w:eastAsia="仿宋" w:cs="仿宋"/>
          <w:sz w:val="32"/>
          <w:szCs w:val="32"/>
          <w:lang w:val="en-US"/>
        </w:rPr>
        <w:t>2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</w:t>
      </w:r>
      <w:r>
        <w:rPr>
          <w:rFonts w:hint="eastAsia" w:ascii="仿宋" w:hAnsi="仿宋" w:eastAsia="仿宋" w:cs="仿宋"/>
          <w:sz w:val="32"/>
          <w:szCs w:val="32"/>
        </w:rPr>
        <w:t>年部门政府性基金预算支出预算表</w:t>
      </w:r>
    </w:p>
    <w:p>
      <w:pPr>
        <w:pStyle w:val="13"/>
        <w:numPr>
          <w:ilvl w:val="0"/>
          <w:numId w:val="8"/>
        </w:numPr>
        <w:shd w:val="clear" w:color="auto" w:fill="auto"/>
        <w:tabs>
          <w:tab w:val="left" w:pos="411"/>
        </w:tabs>
        <w:spacing w:before="0" w:after="0" w:line="538" w:lineRule="exact"/>
        <w:ind w:firstLine="0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20</w:t>
      </w:r>
      <w:r>
        <w:rPr>
          <w:rFonts w:hint="eastAsia" w:ascii="仿宋" w:hAnsi="仿宋" w:eastAsia="仿宋" w:cs="仿宋"/>
          <w:sz w:val="32"/>
          <w:szCs w:val="32"/>
          <w:lang w:val="en-US"/>
        </w:rPr>
        <w:t>2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</w:t>
      </w:r>
      <w:r>
        <w:rPr>
          <w:rFonts w:hint="eastAsia" w:ascii="仿宋" w:hAnsi="仿宋" w:eastAsia="仿宋" w:cs="仿宋"/>
          <w:sz w:val="32"/>
          <w:szCs w:val="32"/>
        </w:rPr>
        <w:t>年部门收支预算总表</w:t>
      </w:r>
    </w:p>
    <w:p>
      <w:pPr>
        <w:pStyle w:val="13"/>
        <w:numPr>
          <w:ilvl w:val="0"/>
          <w:numId w:val="8"/>
        </w:numPr>
        <w:shd w:val="clear" w:color="auto" w:fill="auto"/>
        <w:tabs>
          <w:tab w:val="left" w:pos="411"/>
        </w:tabs>
        <w:spacing w:before="0" w:after="0" w:line="538" w:lineRule="exact"/>
        <w:ind w:firstLine="0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20</w:t>
      </w:r>
      <w:r>
        <w:rPr>
          <w:rFonts w:hint="eastAsia" w:ascii="仿宋" w:hAnsi="仿宋" w:eastAsia="仿宋" w:cs="仿宋"/>
          <w:sz w:val="32"/>
          <w:szCs w:val="32"/>
          <w:lang w:val="en-US"/>
        </w:rPr>
        <w:t>2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</w:t>
      </w:r>
      <w:r>
        <w:rPr>
          <w:rFonts w:hint="eastAsia" w:ascii="仿宋" w:hAnsi="仿宋" w:eastAsia="仿宋" w:cs="仿宋"/>
          <w:sz w:val="32"/>
          <w:szCs w:val="32"/>
        </w:rPr>
        <w:t>年部门收入预算总表</w:t>
      </w:r>
    </w:p>
    <w:p>
      <w:pPr>
        <w:pStyle w:val="13"/>
        <w:numPr>
          <w:ilvl w:val="0"/>
          <w:numId w:val="8"/>
        </w:numPr>
        <w:shd w:val="clear" w:color="auto" w:fill="auto"/>
        <w:tabs>
          <w:tab w:val="left" w:pos="411"/>
        </w:tabs>
        <w:spacing w:before="0" w:after="0" w:line="538" w:lineRule="exact"/>
        <w:ind w:firstLine="0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20</w:t>
      </w:r>
      <w:r>
        <w:rPr>
          <w:rFonts w:hint="eastAsia" w:ascii="仿宋" w:hAnsi="仿宋" w:eastAsia="仿宋" w:cs="仿宋"/>
          <w:sz w:val="32"/>
          <w:szCs w:val="32"/>
          <w:lang w:val="en-US"/>
        </w:rPr>
        <w:t>2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</w:t>
      </w:r>
      <w:r>
        <w:rPr>
          <w:rFonts w:hint="eastAsia" w:ascii="仿宋" w:hAnsi="仿宋" w:eastAsia="仿宋" w:cs="仿宋"/>
          <w:sz w:val="32"/>
          <w:szCs w:val="32"/>
        </w:rPr>
        <w:t>年部门支出预算总表</w:t>
      </w:r>
    </w:p>
    <w:p>
      <w:pPr>
        <w:pStyle w:val="13"/>
        <w:numPr>
          <w:ilvl w:val="0"/>
          <w:numId w:val="8"/>
        </w:numPr>
        <w:shd w:val="clear" w:color="auto" w:fill="auto"/>
        <w:tabs>
          <w:tab w:val="left" w:pos="411"/>
        </w:tabs>
        <w:spacing w:before="0" w:after="0" w:line="538" w:lineRule="exact"/>
        <w:ind w:firstLine="0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/>
        </w:rPr>
        <w:t>202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</w:t>
      </w:r>
      <w:r>
        <w:rPr>
          <w:rFonts w:hint="eastAsia" w:ascii="仿宋" w:hAnsi="仿宋" w:eastAsia="仿宋" w:cs="仿宋"/>
          <w:sz w:val="32"/>
          <w:szCs w:val="32"/>
          <w:lang w:val="en-US"/>
        </w:rPr>
        <w:t>年部门</w:t>
      </w:r>
      <w:r>
        <w:rPr>
          <w:rFonts w:hint="eastAsia" w:ascii="仿宋" w:hAnsi="仿宋" w:eastAsia="仿宋" w:cs="仿宋"/>
          <w:sz w:val="32"/>
          <w:szCs w:val="32"/>
        </w:rPr>
        <w:t>国有资本经营预算支出预算表</w:t>
      </w:r>
    </w:p>
    <w:p>
      <w:pPr>
        <w:pStyle w:val="13"/>
        <w:numPr>
          <w:ilvl w:val="0"/>
          <w:numId w:val="8"/>
        </w:numPr>
        <w:shd w:val="clear" w:color="auto" w:fill="auto"/>
        <w:tabs>
          <w:tab w:val="left" w:pos="392"/>
        </w:tabs>
        <w:spacing w:before="0" w:after="0" w:line="538" w:lineRule="exact"/>
        <w:ind w:firstLine="0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/>
        </w:rPr>
        <w:t>202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</w:t>
      </w:r>
      <w:r>
        <w:rPr>
          <w:rFonts w:hint="eastAsia" w:ascii="仿宋" w:hAnsi="仿宋" w:eastAsia="仿宋" w:cs="仿宋"/>
          <w:sz w:val="32"/>
          <w:szCs w:val="32"/>
          <w:lang w:val="en-US"/>
        </w:rPr>
        <w:t>年部门政府采购预算表</w:t>
      </w:r>
    </w:p>
    <w:p>
      <w:pPr>
        <w:pStyle w:val="13"/>
        <w:shd w:val="clear" w:color="auto" w:fill="auto"/>
        <w:tabs>
          <w:tab w:val="left" w:pos="1280"/>
        </w:tabs>
        <w:spacing w:before="0" w:after="0" w:line="360" w:lineRule="auto"/>
        <w:jc w:val="both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/>
        </w:rPr>
        <w:t>10.202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</w:t>
      </w:r>
      <w:r>
        <w:rPr>
          <w:rFonts w:hint="eastAsia" w:ascii="仿宋" w:hAnsi="仿宋" w:eastAsia="仿宋" w:cs="仿宋"/>
          <w:sz w:val="32"/>
          <w:szCs w:val="32"/>
          <w:lang w:val="en-US"/>
        </w:rPr>
        <w:t>年政府购买服务预算表</w:t>
      </w:r>
    </w:p>
    <w:sectPr>
      <w:headerReference r:id="rId5" w:type="default"/>
      <w:footerReference r:id="rId6" w:type="default"/>
      <w:footerReference r:id="rId7" w:type="even"/>
      <w:pgSz w:w="11900" w:h="16840"/>
      <w:pgMar w:top="1586" w:right="1237" w:bottom="1616" w:left="1198" w:header="0" w:footer="3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/>
  </w:endnote>
  <w:endnote w:type="continuationSeparator" w:id="1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PMingLiU">
    <w:panose1 w:val="02020500000000000000"/>
    <w:charset w:val="88"/>
    <w:family w:val="roman"/>
    <w:pitch w:val="default"/>
    <w:sig w:usb0="A00002FF" w:usb1="28CFFCFA" w:usb2="00000016" w:usb3="00000000" w:csb0="0010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 2">
    <w:altName w:val="Wingdings"/>
    <w:panose1 w:val="05020102010507070707"/>
    <w:charset w:val="00"/>
    <w:family w:val="auto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rPr>
        <w:sz w:val="2"/>
        <w:szCs w:val="2"/>
      </w:rPr>
    </w:pPr>
    <w:r>
      <w:pict>
        <v:shape id="_x0000_s3073" o:spid="_x0000_s3073" o:spt="202" type="#_x0000_t202" style="position:absolute;left:0pt;margin-left:288.75pt;margin-top:780.6pt;height:6.25pt;width:7.45pt;mso-position-horizontal-relative:page;mso-position-vertical-relative:page;mso-wrap-style:none;z-index:-251657216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 style="mso-fit-shape-to-text:t;">
            <w:txbxContent>
              <w:p>
                <w:pPr>
                  <w:pStyle w:val="21"/>
                  <w:shd w:val="clear" w:color="auto" w:fill="auto"/>
                  <w:spacing w:line="240" w:lineRule="auto"/>
                </w:pPr>
                <w:r>
                  <w:fldChar w:fldCharType="begin"/>
                </w:r>
                <w:r>
                  <w:instrText xml:space="preserve"> PAGE \* MERGEFORMAT </w:instrText>
                </w:r>
                <w:r>
                  <w:fldChar w:fldCharType="separate"/>
                </w:r>
                <w:r>
                  <w:rPr>
                    <w:rStyle w:val="23"/>
                    <w:rFonts w:eastAsia="PMingLiU"/>
                  </w:rPr>
                  <w:t>7</w:t>
                </w:r>
                <w:r>
                  <w:rPr>
                    <w:rStyle w:val="23"/>
                    <w:rFonts w:eastAsia="PMingLiU"/>
                  </w:rPr>
                  <w:fldChar w:fldCharType="end"/>
                </w:r>
              </w:p>
            </w:txbxContent>
          </v:textbox>
        </v:shape>
      </w:pic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rPr>
        <w:sz w:val="2"/>
        <w:szCs w:val="2"/>
      </w:rPr>
    </w:pPr>
    <w:r>
      <w:pict>
        <v:shape id="_x0000_s3074" o:spid="_x0000_s3074" o:spt="202" type="#_x0000_t202" style="position:absolute;left:0pt;margin-left:288.75pt;margin-top:780.6pt;height:6.25pt;width:7.45pt;mso-position-horizontal-relative:page;mso-position-vertical-relative:page;mso-wrap-style:none;z-index:-251656192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 style="mso-fit-shape-to-text:t;">
            <w:txbxContent>
              <w:p>
                <w:pPr>
                  <w:pStyle w:val="21"/>
                  <w:shd w:val="clear" w:color="auto" w:fill="auto"/>
                  <w:spacing w:line="240" w:lineRule="auto"/>
                </w:pPr>
                <w:r>
                  <w:fldChar w:fldCharType="begin"/>
                </w:r>
                <w:r>
                  <w:instrText xml:space="preserve"> PAGE \* MERGEFORMAT </w:instrText>
                </w:r>
                <w:r>
                  <w:fldChar w:fldCharType="separate"/>
                </w:r>
                <w:r>
                  <w:rPr>
                    <w:rStyle w:val="23"/>
                    <w:rFonts w:eastAsia="PMingLiU"/>
                  </w:rPr>
                  <w:t>8</w:t>
                </w:r>
                <w:r>
                  <w:rPr>
                    <w:rStyle w:val="23"/>
                    <w:rFonts w:eastAsia="PMingLiU"/>
                  </w:rP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/>
  </w:footnote>
  <w:footnote w:type="continuationSeparator" w:id="1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B1E84A9"/>
    <w:multiLevelType w:val="singleLevel"/>
    <w:tmpl w:val="AB1E84A9"/>
    <w:lvl w:ilvl="0" w:tentative="0">
      <w:start w:val="1"/>
      <w:numFmt w:val="decimal"/>
      <w:suff w:val="nothing"/>
      <w:lvlText w:val="%1．"/>
      <w:lvlJc w:val="left"/>
      <w:pPr>
        <w:ind w:left="0" w:firstLine="400"/>
      </w:pPr>
      <w:rPr>
        <w:rFonts w:hint="default"/>
      </w:rPr>
    </w:lvl>
  </w:abstractNum>
  <w:abstractNum w:abstractNumId="1">
    <w:nsid w:val="CF092B84"/>
    <w:multiLevelType w:val="singleLevel"/>
    <w:tmpl w:val="CF092B84"/>
    <w:lvl w:ilvl="0" w:tentative="0">
      <w:start w:val="1"/>
      <w:numFmt w:val="decimal"/>
      <w:lvlText w:val="%1."/>
      <w:lvlJc w:val="left"/>
      <w:rPr>
        <w:rFonts w:ascii="PMingLiU" w:hAnsi="PMingLiU" w:eastAsia="PMingLiU" w:cs="PMingLiU"/>
        <w:b w:val="0"/>
        <w:bCs w:val="0"/>
        <w:i w:val="0"/>
        <w:iCs w:val="0"/>
        <w:smallCaps w:val="0"/>
        <w:strike w:val="0"/>
        <w:color w:val="000000"/>
        <w:spacing w:val="30"/>
        <w:w w:val="100"/>
        <w:position w:val="0"/>
        <w:sz w:val="30"/>
        <w:szCs w:val="30"/>
        <w:u w:val="none"/>
        <w:lang w:val="en-US" w:eastAsia="en-US" w:bidi="en-US"/>
      </w:rPr>
    </w:lvl>
  </w:abstractNum>
  <w:abstractNum w:abstractNumId="2">
    <w:nsid w:val="CF47AF4E"/>
    <w:multiLevelType w:val="singleLevel"/>
    <w:tmpl w:val="CF47AF4E"/>
    <w:lvl w:ilvl="0" w:tentative="0">
      <w:start w:val="1"/>
      <w:numFmt w:val="decimal"/>
      <w:suff w:val="nothing"/>
      <w:lvlText w:val="（%1）"/>
      <w:lvlJc w:val="left"/>
    </w:lvl>
  </w:abstractNum>
  <w:abstractNum w:abstractNumId="3">
    <w:nsid w:val="D3ABF82E"/>
    <w:multiLevelType w:val="singleLevel"/>
    <w:tmpl w:val="D3ABF82E"/>
    <w:lvl w:ilvl="0" w:tentative="0">
      <w:start w:val="2"/>
      <w:numFmt w:val="decimal"/>
      <w:lvlText w:val="%1."/>
      <w:lvlJc w:val="left"/>
      <w:pPr>
        <w:tabs>
          <w:tab w:val="left" w:pos="312"/>
        </w:tabs>
        <w:ind w:left="720" w:leftChars="0" w:firstLine="0" w:firstLineChars="0"/>
      </w:pPr>
    </w:lvl>
  </w:abstractNum>
  <w:abstractNum w:abstractNumId="4">
    <w:nsid w:val="EF653712"/>
    <w:multiLevelType w:val="singleLevel"/>
    <w:tmpl w:val="EF653712"/>
    <w:lvl w:ilvl="0" w:tentative="0">
      <w:start w:val="1"/>
      <w:numFmt w:val="chineseCounting"/>
      <w:suff w:val="nothing"/>
      <w:lvlText w:val="(%1）"/>
      <w:lvlJc w:val="left"/>
      <w:rPr>
        <w:rFonts w:hint="eastAsia"/>
      </w:rPr>
    </w:lvl>
  </w:abstractNum>
  <w:abstractNum w:abstractNumId="5">
    <w:nsid w:val="0053208E"/>
    <w:multiLevelType w:val="singleLevel"/>
    <w:tmpl w:val="0053208E"/>
    <w:lvl w:ilvl="0" w:tentative="0">
      <w:start w:val="1"/>
      <w:numFmt w:val="decimal"/>
      <w:lvlText w:val="%1."/>
      <w:lvlJc w:val="left"/>
      <w:rPr>
        <w:rFonts w:ascii="PMingLiU" w:hAnsi="PMingLiU" w:eastAsia="PMingLiU" w:cs="PMingLiU"/>
        <w:b w:val="0"/>
        <w:bCs w:val="0"/>
        <w:i w:val="0"/>
        <w:iCs w:val="0"/>
        <w:smallCaps w:val="0"/>
        <w:strike w:val="0"/>
        <w:color w:val="000000"/>
        <w:spacing w:val="30"/>
        <w:w w:val="100"/>
        <w:position w:val="0"/>
        <w:sz w:val="30"/>
        <w:szCs w:val="30"/>
        <w:u w:val="none"/>
        <w:lang w:val="en-US" w:eastAsia="en-US" w:bidi="en-US"/>
      </w:rPr>
    </w:lvl>
  </w:abstractNum>
  <w:abstractNum w:abstractNumId="6">
    <w:nsid w:val="32E7DDA3"/>
    <w:multiLevelType w:val="singleLevel"/>
    <w:tmpl w:val="32E7DDA3"/>
    <w:lvl w:ilvl="0" w:tentative="0">
      <w:start w:val="9"/>
      <w:numFmt w:val="chineseCounting"/>
      <w:suff w:val="nothing"/>
      <w:lvlText w:val="%1、"/>
      <w:lvlJc w:val="left"/>
      <w:rPr>
        <w:rFonts w:hint="eastAsia"/>
      </w:rPr>
    </w:lvl>
  </w:abstractNum>
  <w:abstractNum w:abstractNumId="7">
    <w:nsid w:val="5180FE10"/>
    <w:multiLevelType w:val="singleLevel"/>
    <w:tmpl w:val="5180FE10"/>
    <w:lvl w:ilvl="0" w:tentative="0">
      <w:start w:val="3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5"/>
  </w:num>
  <w:num w:numId="2">
    <w:abstractNumId w:val="1"/>
  </w:num>
  <w:num w:numId="3">
    <w:abstractNumId w:val="7"/>
  </w:num>
  <w:num w:numId="4">
    <w:abstractNumId w:val="6"/>
  </w:num>
  <w:num w:numId="5">
    <w:abstractNumId w:val="4"/>
  </w:num>
  <w:num w:numId="6">
    <w:abstractNumId w:val="3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 w:val="0"/>
  <w:bordersDoNotSurroundFooter w:val="0"/>
  <w:documentProtection w:enforcement="0"/>
  <w:defaultTabStop w:val="420"/>
  <w:evenAndOddHeaders w:val="1"/>
  <w:drawingGridHorizontalSpacing w:val="181"/>
  <w:drawingGridVerticalSpacing w:val="181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3"/>
    </o:shapelayout>
  </w:hdrShapeDefaults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N2I1MDQzZjcxZTgwODhjM2ExMzkwMzI5MjY4ZjdmOWMifQ=="/>
  </w:docVars>
  <w:rsids>
    <w:rsidRoot w:val="0033577B"/>
    <w:rsid w:val="00265585"/>
    <w:rsid w:val="002F2597"/>
    <w:rsid w:val="0033577B"/>
    <w:rsid w:val="004F768F"/>
    <w:rsid w:val="00641A63"/>
    <w:rsid w:val="0067705F"/>
    <w:rsid w:val="006B33A9"/>
    <w:rsid w:val="00C25BEF"/>
    <w:rsid w:val="00D6440E"/>
    <w:rsid w:val="00DA5E49"/>
    <w:rsid w:val="00DA621A"/>
    <w:rsid w:val="00DD46E1"/>
    <w:rsid w:val="00F87592"/>
    <w:rsid w:val="00FB3496"/>
    <w:rsid w:val="02431E11"/>
    <w:rsid w:val="03334F45"/>
    <w:rsid w:val="043E2F4A"/>
    <w:rsid w:val="074910A2"/>
    <w:rsid w:val="0785427E"/>
    <w:rsid w:val="0BD17B2B"/>
    <w:rsid w:val="0D1A45DD"/>
    <w:rsid w:val="0D8574D2"/>
    <w:rsid w:val="13E32373"/>
    <w:rsid w:val="14C73A35"/>
    <w:rsid w:val="14F04E9F"/>
    <w:rsid w:val="17855E31"/>
    <w:rsid w:val="1C8D24DC"/>
    <w:rsid w:val="1D4A2712"/>
    <w:rsid w:val="1DDE2AFD"/>
    <w:rsid w:val="1F2D795C"/>
    <w:rsid w:val="21071CD9"/>
    <w:rsid w:val="24187DF0"/>
    <w:rsid w:val="2494418F"/>
    <w:rsid w:val="24E877DF"/>
    <w:rsid w:val="250E3D3B"/>
    <w:rsid w:val="265042E5"/>
    <w:rsid w:val="26C314EC"/>
    <w:rsid w:val="276B45D1"/>
    <w:rsid w:val="28265DC8"/>
    <w:rsid w:val="283233E6"/>
    <w:rsid w:val="299D31EA"/>
    <w:rsid w:val="2C7C38A6"/>
    <w:rsid w:val="2EDA3662"/>
    <w:rsid w:val="2F142897"/>
    <w:rsid w:val="2F3D0F23"/>
    <w:rsid w:val="2FC8303B"/>
    <w:rsid w:val="332C6584"/>
    <w:rsid w:val="36344243"/>
    <w:rsid w:val="36F23E90"/>
    <w:rsid w:val="38405764"/>
    <w:rsid w:val="3C597A01"/>
    <w:rsid w:val="3D7A4687"/>
    <w:rsid w:val="3D81035B"/>
    <w:rsid w:val="3EA87366"/>
    <w:rsid w:val="3FE47979"/>
    <w:rsid w:val="405B5988"/>
    <w:rsid w:val="408A34B8"/>
    <w:rsid w:val="41506088"/>
    <w:rsid w:val="430000D7"/>
    <w:rsid w:val="43BE2330"/>
    <w:rsid w:val="460354CB"/>
    <w:rsid w:val="48105303"/>
    <w:rsid w:val="48820020"/>
    <w:rsid w:val="4A972C95"/>
    <w:rsid w:val="4AA81C1E"/>
    <w:rsid w:val="4AC75B2F"/>
    <w:rsid w:val="4B490294"/>
    <w:rsid w:val="4B894EB0"/>
    <w:rsid w:val="4E24045A"/>
    <w:rsid w:val="4E935B51"/>
    <w:rsid w:val="502F0094"/>
    <w:rsid w:val="50E907FF"/>
    <w:rsid w:val="54986B17"/>
    <w:rsid w:val="57A228A3"/>
    <w:rsid w:val="5AEC5011"/>
    <w:rsid w:val="5B450E7A"/>
    <w:rsid w:val="5BCE528C"/>
    <w:rsid w:val="62A45082"/>
    <w:rsid w:val="62BD525A"/>
    <w:rsid w:val="6368771C"/>
    <w:rsid w:val="65AB4EAB"/>
    <w:rsid w:val="673D6FD7"/>
    <w:rsid w:val="69851BF0"/>
    <w:rsid w:val="6A6261E0"/>
    <w:rsid w:val="6C890CDF"/>
    <w:rsid w:val="6EC55030"/>
    <w:rsid w:val="6FA1255B"/>
    <w:rsid w:val="7592724C"/>
    <w:rsid w:val="79C53304"/>
    <w:rsid w:val="7AB86BD0"/>
    <w:rsid w:val="7D8D0811"/>
    <w:rsid w:val="7F583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</w:pPr>
    <w:rPr>
      <w:rFonts w:ascii="Times New Roman" w:hAnsi="Times New Roman" w:eastAsia="Times New Roman" w:cs="Times New Roman"/>
      <w:color w:val="000000"/>
      <w:sz w:val="24"/>
      <w:szCs w:val="24"/>
      <w:lang w:val="zh-CN" w:eastAsia="zh-CN" w:bidi="zh-CN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Body text|3_"/>
    <w:basedOn w:val="3"/>
    <w:link w:val="5"/>
    <w:qFormat/>
    <w:uiPriority w:val="0"/>
    <w:rPr>
      <w:rFonts w:ascii="PMingLiU" w:hAnsi="PMingLiU" w:eastAsia="PMingLiU" w:cs="PMingLiU"/>
      <w:sz w:val="52"/>
      <w:szCs w:val="52"/>
      <w:u w:val="none"/>
    </w:rPr>
  </w:style>
  <w:style w:type="paragraph" w:customStyle="1" w:styleId="5">
    <w:name w:val="Body text|3"/>
    <w:basedOn w:val="1"/>
    <w:link w:val="4"/>
    <w:qFormat/>
    <w:uiPriority w:val="0"/>
    <w:pPr>
      <w:shd w:val="clear" w:color="auto" w:fill="FFFFFF"/>
      <w:spacing w:after="5400" w:line="1133" w:lineRule="exact"/>
      <w:jc w:val="center"/>
    </w:pPr>
    <w:rPr>
      <w:rFonts w:ascii="PMingLiU" w:hAnsi="PMingLiU" w:eastAsia="PMingLiU" w:cs="PMingLiU"/>
      <w:sz w:val="52"/>
      <w:szCs w:val="52"/>
    </w:rPr>
  </w:style>
  <w:style w:type="character" w:customStyle="1" w:styleId="6">
    <w:name w:val="Body text|3 + Times New Roman"/>
    <w:basedOn w:val="4"/>
    <w:semiHidden/>
    <w:unhideWhenUsed/>
    <w:qFormat/>
    <w:uiPriority w:val="0"/>
    <w:rPr>
      <w:rFonts w:ascii="Times New Roman" w:hAnsi="Times New Roman" w:eastAsia="Times New Roman" w:cs="Times New Roman"/>
      <w:b/>
      <w:bCs/>
      <w:color w:val="000000"/>
      <w:spacing w:val="0"/>
      <w:w w:val="100"/>
      <w:position w:val="0"/>
      <w:sz w:val="54"/>
      <w:szCs w:val="54"/>
      <w:u w:val="none"/>
      <w:lang w:val="zh-CN" w:eastAsia="zh-CN" w:bidi="zh-CN"/>
    </w:rPr>
  </w:style>
  <w:style w:type="character" w:customStyle="1" w:styleId="7">
    <w:name w:val="Body text|4_"/>
    <w:basedOn w:val="3"/>
    <w:link w:val="8"/>
    <w:qFormat/>
    <w:uiPriority w:val="0"/>
    <w:rPr>
      <w:rFonts w:ascii="PMingLiU" w:hAnsi="PMingLiU" w:eastAsia="PMingLiU" w:cs="PMingLiU"/>
      <w:sz w:val="36"/>
      <w:szCs w:val="36"/>
      <w:u w:val="none"/>
    </w:rPr>
  </w:style>
  <w:style w:type="paragraph" w:customStyle="1" w:styleId="8">
    <w:name w:val="Body text|4"/>
    <w:basedOn w:val="1"/>
    <w:link w:val="7"/>
    <w:qFormat/>
    <w:uiPriority w:val="0"/>
    <w:pPr>
      <w:shd w:val="clear" w:color="auto" w:fill="FFFFFF"/>
      <w:spacing w:before="5400" w:line="360" w:lineRule="exact"/>
    </w:pPr>
    <w:rPr>
      <w:rFonts w:ascii="PMingLiU" w:hAnsi="PMingLiU" w:eastAsia="PMingLiU" w:cs="PMingLiU"/>
      <w:sz w:val="36"/>
      <w:szCs w:val="36"/>
    </w:rPr>
  </w:style>
  <w:style w:type="character" w:customStyle="1" w:styleId="9">
    <w:name w:val="Body text|4 + Spacing 4 pt"/>
    <w:basedOn w:val="7"/>
    <w:semiHidden/>
    <w:unhideWhenUsed/>
    <w:qFormat/>
    <w:uiPriority w:val="0"/>
    <w:rPr>
      <w:rFonts w:ascii="PMingLiU" w:hAnsi="PMingLiU" w:eastAsia="PMingLiU" w:cs="PMingLiU"/>
      <w:color w:val="000000"/>
      <w:spacing w:val="80"/>
      <w:w w:val="100"/>
      <w:position w:val="0"/>
      <w:sz w:val="36"/>
      <w:szCs w:val="36"/>
      <w:u w:val="none"/>
      <w:lang w:val="zh-CN" w:eastAsia="zh-CN" w:bidi="zh-CN"/>
    </w:rPr>
  </w:style>
  <w:style w:type="character" w:customStyle="1" w:styleId="10">
    <w:name w:val="Body text|5_"/>
    <w:basedOn w:val="3"/>
    <w:link w:val="11"/>
    <w:qFormat/>
    <w:uiPriority w:val="0"/>
    <w:rPr>
      <w:rFonts w:ascii="PMingLiU" w:hAnsi="PMingLiU" w:eastAsia="PMingLiU" w:cs="PMingLiU"/>
      <w:b/>
      <w:bCs/>
      <w:spacing w:val="30"/>
      <w:sz w:val="30"/>
      <w:szCs w:val="30"/>
      <w:u w:val="none"/>
    </w:rPr>
  </w:style>
  <w:style w:type="paragraph" w:customStyle="1" w:styleId="11">
    <w:name w:val="Body text|5"/>
    <w:basedOn w:val="1"/>
    <w:link w:val="10"/>
    <w:qFormat/>
    <w:uiPriority w:val="0"/>
    <w:pPr>
      <w:shd w:val="clear" w:color="auto" w:fill="FFFFFF"/>
      <w:spacing w:after="220" w:line="300" w:lineRule="exact"/>
    </w:pPr>
    <w:rPr>
      <w:rFonts w:ascii="PMingLiU" w:hAnsi="PMingLiU" w:eastAsia="PMingLiU" w:cs="PMingLiU"/>
      <w:b/>
      <w:bCs/>
      <w:spacing w:val="30"/>
      <w:sz w:val="30"/>
      <w:szCs w:val="30"/>
    </w:rPr>
  </w:style>
  <w:style w:type="character" w:customStyle="1" w:styleId="12">
    <w:name w:val="Body text|2_"/>
    <w:basedOn w:val="3"/>
    <w:link w:val="13"/>
    <w:qFormat/>
    <w:uiPriority w:val="0"/>
    <w:rPr>
      <w:rFonts w:ascii="PMingLiU" w:hAnsi="PMingLiU" w:eastAsia="PMingLiU" w:cs="PMingLiU"/>
      <w:spacing w:val="30"/>
      <w:sz w:val="30"/>
      <w:szCs w:val="30"/>
      <w:u w:val="none"/>
    </w:rPr>
  </w:style>
  <w:style w:type="paragraph" w:customStyle="1" w:styleId="13">
    <w:name w:val="Body text|2"/>
    <w:basedOn w:val="1"/>
    <w:link w:val="12"/>
    <w:qFormat/>
    <w:uiPriority w:val="0"/>
    <w:pPr>
      <w:shd w:val="clear" w:color="auto" w:fill="FFFFFF"/>
      <w:spacing w:before="220" w:after="220" w:line="300" w:lineRule="exact"/>
    </w:pPr>
    <w:rPr>
      <w:rFonts w:ascii="PMingLiU" w:hAnsi="PMingLiU" w:eastAsia="PMingLiU" w:cs="PMingLiU"/>
      <w:spacing w:val="30"/>
      <w:sz w:val="30"/>
      <w:szCs w:val="30"/>
    </w:rPr>
  </w:style>
  <w:style w:type="character" w:customStyle="1" w:styleId="14">
    <w:name w:val="Body text|2 + Times New Roman"/>
    <w:basedOn w:val="12"/>
    <w:semiHidden/>
    <w:unhideWhenUsed/>
    <w:qFormat/>
    <w:uiPriority w:val="0"/>
    <w:rPr>
      <w:rFonts w:ascii="Times New Roman" w:hAnsi="Times New Roman" w:eastAsia="Times New Roman" w:cs="Times New Roman"/>
      <w:color w:val="000000"/>
      <w:spacing w:val="0"/>
      <w:w w:val="100"/>
      <w:position w:val="0"/>
      <w:sz w:val="34"/>
      <w:szCs w:val="34"/>
      <w:u w:val="none"/>
      <w:lang w:val="en-US" w:eastAsia="en-US" w:bidi="en-US"/>
    </w:rPr>
  </w:style>
  <w:style w:type="character" w:customStyle="1" w:styleId="15">
    <w:name w:val="Body text|2 + Bold"/>
    <w:basedOn w:val="12"/>
    <w:semiHidden/>
    <w:unhideWhenUsed/>
    <w:qFormat/>
    <w:uiPriority w:val="0"/>
    <w:rPr>
      <w:rFonts w:ascii="PMingLiU" w:hAnsi="PMingLiU" w:eastAsia="PMingLiU" w:cs="PMingLiU"/>
      <w:b/>
      <w:bCs/>
      <w:color w:val="000000"/>
      <w:spacing w:val="30"/>
      <w:w w:val="100"/>
      <w:position w:val="0"/>
      <w:sz w:val="30"/>
      <w:szCs w:val="30"/>
      <w:u w:val="none"/>
      <w:lang w:val="zh-CN" w:eastAsia="zh-CN" w:bidi="zh-CN"/>
    </w:rPr>
  </w:style>
  <w:style w:type="character" w:customStyle="1" w:styleId="16">
    <w:name w:val="Body text|6_"/>
    <w:basedOn w:val="3"/>
    <w:link w:val="17"/>
    <w:qFormat/>
    <w:uiPriority w:val="0"/>
    <w:rPr>
      <w:rFonts w:ascii="PMingLiU" w:hAnsi="PMingLiU" w:eastAsia="PMingLiU" w:cs="PMingLiU"/>
      <w:spacing w:val="30"/>
      <w:sz w:val="32"/>
      <w:szCs w:val="32"/>
      <w:u w:val="none"/>
    </w:rPr>
  </w:style>
  <w:style w:type="paragraph" w:customStyle="1" w:styleId="17">
    <w:name w:val="Body text|6"/>
    <w:basedOn w:val="1"/>
    <w:link w:val="16"/>
    <w:qFormat/>
    <w:uiPriority w:val="0"/>
    <w:pPr>
      <w:shd w:val="clear" w:color="auto" w:fill="FFFFFF"/>
      <w:spacing w:after="320" w:line="320" w:lineRule="exact"/>
      <w:jc w:val="center"/>
    </w:pPr>
    <w:rPr>
      <w:rFonts w:ascii="PMingLiU" w:hAnsi="PMingLiU" w:eastAsia="PMingLiU" w:cs="PMingLiU"/>
      <w:spacing w:val="30"/>
      <w:sz w:val="32"/>
      <w:szCs w:val="32"/>
    </w:rPr>
  </w:style>
  <w:style w:type="character" w:customStyle="1" w:styleId="18">
    <w:name w:val="Body text|2 + 12 pt"/>
    <w:basedOn w:val="12"/>
    <w:semiHidden/>
    <w:unhideWhenUsed/>
    <w:qFormat/>
    <w:uiPriority w:val="0"/>
    <w:rPr>
      <w:rFonts w:ascii="PMingLiU" w:hAnsi="PMingLiU" w:eastAsia="PMingLiU" w:cs="PMingLiU"/>
      <w:color w:val="000000"/>
      <w:spacing w:val="20"/>
      <w:w w:val="100"/>
      <w:position w:val="0"/>
      <w:sz w:val="24"/>
      <w:szCs w:val="24"/>
      <w:u w:val="none"/>
      <w:lang w:val="zh-CN" w:eastAsia="zh-CN" w:bidi="zh-CN"/>
    </w:rPr>
  </w:style>
  <w:style w:type="character" w:customStyle="1" w:styleId="19">
    <w:name w:val="Body text|6 + Times New Roman"/>
    <w:basedOn w:val="16"/>
    <w:semiHidden/>
    <w:unhideWhenUsed/>
    <w:qFormat/>
    <w:uiPriority w:val="0"/>
    <w:rPr>
      <w:rFonts w:ascii="Times New Roman" w:hAnsi="Times New Roman" w:eastAsia="Times New Roman" w:cs="Times New Roman"/>
      <w:color w:val="000000"/>
      <w:spacing w:val="0"/>
      <w:w w:val="100"/>
      <w:position w:val="0"/>
      <w:sz w:val="34"/>
      <w:szCs w:val="34"/>
      <w:u w:val="none"/>
      <w:lang w:val="zh-CN" w:eastAsia="zh-CN" w:bidi="zh-CN"/>
    </w:rPr>
  </w:style>
  <w:style w:type="character" w:customStyle="1" w:styleId="20">
    <w:name w:val="Header or footer|1_"/>
    <w:basedOn w:val="3"/>
    <w:link w:val="21"/>
    <w:qFormat/>
    <w:uiPriority w:val="0"/>
    <w:rPr>
      <w:rFonts w:ascii="PMingLiU" w:hAnsi="PMingLiU" w:eastAsia="PMingLiU" w:cs="PMingLiU"/>
      <w:spacing w:val="20"/>
      <w:sz w:val="19"/>
      <w:szCs w:val="19"/>
      <w:u w:val="none"/>
    </w:rPr>
  </w:style>
  <w:style w:type="paragraph" w:customStyle="1" w:styleId="21">
    <w:name w:val="Header or footer|11"/>
    <w:basedOn w:val="1"/>
    <w:link w:val="20"/>
    <w:qFormat/>
    <w:uiPriority w:val="0"/>
    <w:pPr>
      <w:shd w:val="clear" w:color="auto" w:fill="FFFFFF"/>
      <w:spacing w:line="190" w:lineRule="exact"/>
    </w:pPr>
    <w:rPr>
      <w:rFonts w:ascii="PMingLiU" w:hAnsi="PMingLiU" w:eastAsia="PMingLiU" w:cs="PMingLiU"/>
      <w:spacing w:val="20"/>
      <w:sz w:val="19"/>
      <w:szCs w:val="19"/>
    </w:rPr>
  </w:style>
  <w:style w:type="character" w:customStyle="1" w:styleId="22">
    <w:name w:val="Header or footer|1"/>
    <w:basedOn w:val="20"/>
    <w:semiHidden/>
    <w:unhideWhenUsed/>
    <w:qFormat/>
    <w:uiPriority w:val="0"/>
    <w:rPr>
      <w:rFonts w:ascii="PMingLiU" w:hAnsi="PMingLiU" w:eastAsia="PMingLiU" w:cs="PMingLiU"/>
      <w:color w:val="000000"/>
      <w:spacing w:val="20"/>
      <w:w w:val="100"/>
      <w:position w:val="0"/>
      <w:sz w:val="19"/>
      <w:szCs w:val="19"/>
      <w:u w:val="none"/>
      <w:lang w:val="zh-CN" w:eastAsia="zh-CN" w:bidi="zh-CN"/>
    </w:rPr>
  </w:style>
  <w:style w:type="character" w:customStyle="1" w:styleId="23">
    <w:name w:val="Header or footer|1 + Times New Roman"/>
    <w:basedOn w:val="20"/>
    <w:semiHidden/>
    <w:unhideWhenUsed/>
    <w:qFormat/>
    <w:uiPriority w:val="0"/>
    <w:rPr>
      <w:rFonts w:ascii="Times New Roman" w:hAnsi="Times New Roman" w:eastAsia="Times New Roman" w:cs="Times New Roman"/>
      <w:color w:val="000000"/>
      <w:spacing w:val="0"/>
      <w:w w:val="100"/>
      <w:position w:val="0"/>
      <w:sz w:val="18"/>
      <w:szCs w:val="18"/>
      <w:u w:val="none"/>
      <w:lang w:val="zh-CN" w:eastAsia="zh-CN" w:bidi="zh-CN"/>
    </w:rPr>
  </w:style>
  <w:style w:type="character" w:customStyle="1" w:styleId="24">
    <w:name w:val="Heading #1|1_"/>
    <w:basedOn w:val="3"/>
    <w:link w:val="25"/>
    <w:qFormat/>
    <w:uiPriority w:val="0"/>
    <w:rPr>
      <w:rFonts w:ascii="PMingLiU" w:hAnsi="PMingLiU" w:eastAsia="PMingLiU" w:cs="PMingLiU"/>
      <w:sz w:val="36"/>
      <w:szCs w:val="36"/>
      <w:u w:val="none"/>
    </w:rPr>
  </w:style>
  <w:style w:type="paragraph" w:customStyle="1" w:styleId="25">
    <w:name w:val="Heading #1|1"/>
    <w:basedOn w:val="1"/>
    <w:link w:val="24"/>
    <w:qFormat/>
    <w:uiPriority w:val="0"/>
    <w:pPr>
      <w:shd w:val="clear" w:color="auto" w:fill="FFFFFF"/>
      <w:spacing w:before="780" w:line="360" w:lineRule="exact"/>
      <w:outlineLvl w:val="0"/>
    </w:pPr>
    <w:rPr>
      <w:rFonts w:ascii="PMingLiU" w:hAnsi="PMingLiU" w:eastAsia="PMingLiU" w:cs="PMingLiU"/>
      <w:sz w:val="36"/>
      <w:szCs w:val="36"/>
    </w:rPr>
  </w:style>
  <w:style w:type="character" w:customStyle="1" w:styleId="26">
    <w:name w:val="Table caption|1_"/>
    <w:basedOn w:val="3"/>
    <w:link w:val="27"/>
    <w:qFormat/>
    <w:uiPriority w:val="0"/>
    <w:rPr>
      <w:rFonts w:ascii="PMingLiU" w:hAnsi="PMingLiU" w:eastAsia="PMingLiU" w:cs="PMingLiU"/>
      <w:sz w:val="20"/>
      <w:szCs w:val="20"/>
      <w:u w:val="none"/>
    </w:rPr>
  </w:style>
  <w:style w:type="paragraph" w:customStyle="1" w:styleId="27">
    <w:name w:val="Table caption|1"/>
    <w:basedOn w:val="1"/>
    <w:link w:val="26"/>
    <w:qFormat/>
    <w:uiPriority w:val="0"/>
    <w:pPr>
      <w:shd w:val="clear" w:color="auto" w:fill="FFFFFF"/>
      <w:spacing w:line="200" w:lineRule="exact"/>
    </w:pPr>
    <w:rPr>
      <w:rFonts w:ascii="PMingLiU" w:hAnsi="PMingLiU" w:eastAsia="PMingLiU" w:cs="PMingLiU"/>
      <w:sz w:val="20"/>
      <w:szCs w:val="20"/>
    </w:rPr>
  </w:style>
  <w:style w:type="character" w:customStyle="1" w:styleId="28">
    <w:name w:val="Table caption|1 + Spacing 2 pt"/>
    <w:basedOn w:val="26"/>
    <w:semiHidden/>
    <w:unhideWhenUsed/>
    <w:qFormat/>
    <w:uiPriority w:val="0"/>
    <w:rPr>
      <w:rFonts w:ascii="PMingLiU" w:hAnsi="PMingLiU" w:eastAsia="PMingLiU" w:cs="PMingLiU"/>
      <w:color w:val="000000"/>
      <w:spacing w:val="50"/>
      <w:w w:val="100"/>
      <w:position w:val="0"/>
      <w:sz w:val="20"/>
      <w:szCs w:val="20"/>
      <w:u w:val="none"/>
      <w:lang w:val="zh-CN" w:eastAsia="zh-CN" w:bidi="zh-CN"/>
    </w:rPr>
  </w:style>
  <w:style w:type="character" w:customStyle="1" w:styleId="29">
    <w:name w:val="Body text|2 + 10 pt"/>
    <w:basedOn w:val="12"/>
    <w:semiHidden/>
    <w:unhideWhenUsed/>
    <w:qFormat/>
    <w:uiPriority w:val="0"/>
    <w:rPr>
      <w:rFonts w:ascii="PMingLiU" w:hAnsi="PMingLiU" w:eastAsia="PMingLiU" w:cs="PMingLiU"/>
      <w:color w:val="000000"/>
      <w:spacing w:val="50"/>
      <w:w w:val="100"/>
      <w:position w:val="0"/>
      <w:sz w:val="20"/>
      <w:szCs w:val="20"/>
      <w:u w:val="none"/>
      <w:lang w:val="zh-CN" w:eastAsia="zh-CN" w:bidi="zh-CN"/>
    </w:rPr>
  </w:style>
  <w:style w:type="character" w:customStyle="1" w:styleId="30">
    <w:name w:val="Body text|2 + 10 pt1"/>
    <w:basedOn w:val="12"/>
    <w:semiHidden/>
    <w:unhideWhenUsed/>
    <w:qFormat/>
    <w:uiPriority w:val="0"/>
    <w:rPr>
      <w:rFonts w:ascii="PMingLiU" w:hAnsi="PMingLiU" w:eastAsia="PMingLiU" w:cs="PMingLiU"/>
      <w:color w:val="000000"/>
      <w:spacing w:val="0"/>
      <w:w w:val="100"/>
      <w:position w:val="0"/>
      <w:sz w:val="20"/>
      <w:szCs w:val="20"/>
      <w:u w:val="none"/>
      <w:lang w:val="zh-CN" w:eastAsia="zh-CN" w:bidi="zh-CN"/>
    </w:rPr>
  </w:style>
  <w:style w:type="character" w:customStyle="1" w:styleId="31">
    <w:name w:val="Body text|2 + 18 pt"/>
    <w:basedOn w:val="12"/>
    <w:semiHidden/>
    <w:unhideWhenUsed/>
    <w:qFormat/>
    <w:uiPriority w:val="0"/>
    <w:rPr>
      <w:rFonts w:ascii="PMingLiU" w:hAnsi="PMingLiU" w:eastAsia="PMingLiU" w:cs="PMingLiU"/>
      <w:color w:val="000000"/>
      <w:spacing w:val="90"/>
      <w:w w:val="60"/>
      <w:position w:val="0"/>
      <w:sz w:val="36"/>
      <w:szCs w:val="36"/>
      <w:u w:val="none"/>
      <w:lang w:val="zh-CN" w:eastAsia="zh-CN" w:bidi="zh-CN"/>
    </w:rPr>
  </w:style>
  <w:style w:type="character" w:customStyle="1" w:styleId="32">
    <w:name w:val="Body text|2 + 21 pt"/>
    <w:basedOn w:val="12"/>
    <w:semiHidden/>
    <w:unhideWhenUsed/>
    <w:qFormat/>
    <w:uiPriority w:val="0"/>
    <w:rPr>
      <w:rFonts w:ascii="PMingLiU" w:hAnsi="PMingLiU" w:eastAsia="PMingLiU" w:cs="PMingLiU"/>
      <w:color w:val="000000"/>
      <w:spacing w:val="70"/>
      <w:w w:val="90"/>
      <w:position w:val="0"/>
      <w:sz w:val="42"/>
      <w:szCs w:val="42"/>
      <w:u w:val="none"/>
      <w:lang w:val="zh-CN" w:eastAsia="zh-CN" w:bidi="zh-CN"/>
    </w:rPr>
  </w:style>
  <w:style w:type="character" w:customStyle="1" w:styleId="33">
    <w:name w:val="Body text|2 + Times New Roman1"/>
    <w:basedOn w:val="12"/>
    <w:semiHidden/>
    <w:unhideWhenUsed/>
    <w:qFormat/>
    <w:uiPriority w:val="0"/>
    <w:rPr>
      <w:rFonts w:ascii="Times New Roman" w:hAnsi="Times New Roman" w:eastAsia="Times New Roman" w:cs="Times New Roman"/>
      <w:color w:val="000000"/>
      <w:spacing w:val="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34">
    <w:name w:val="Table caption|1 Exact"/>
    <w:basedOn w:val="3"/>
    <w:semiHidden/>
    <w:unhideWhenUsed/>
    <w:qFormat/>
    <w:uiPriority w:val="0"/>
    <w:rPr>
      <w:rFonts w:ascii="PMingLiU" w:hAnsi="PMingLiU" w:eastAsia="PMingLiU" w:cs="PMingLiU"/>
      <w:sz w:val="20"/>
      <w:szCs w:val="20"/>
      <w:u w:val="none"/>
    </w:rPr>
  </w:style>
  <w:style w:type="character" w:customStyle="1" w:styleId="35">
    <w:name w:val="Body text|7_"/>
    <w:basedOn w:val="3"/>
    <w:link w:val="36"/>
    <w:qFormat/>
    <w:uiPriority w:val="0"/>
    <w:rPr>
      <w:rFonts w:ascii="PMingLiU" w:hAnsi="PMingLiU" w:eastAsia="PMingLiU" w:cs="PMingLiU"/>
      <w:sz w:val="20"/>
      <w:szCs w:val="20"/>
      <w:u w:val="none"/>
    </w:rPr>
  </w:style>
  <w:style w:type="paragraph" w:customStyle="1" w:styleId="36">
    <w:name w:val="Body text|7"/>
    <w:basedOn w:val="1"/>
    <w:link w:val="35"/>
    <w:qFormat/>
    <w:uiPriority w:val="0"/>
    <w:pPr>
      <w:shd w:val="clear" w:color="auto" w:fill="FFFFFF"/>
      <w:spacing w:after="320" w:line="200" w:lineRule="exact"/>
      <w:jc w:val="right"/>
    </w:pPr>
    <w:rPr>
      <w:rFonts w:ascii="PMingLiU" w:hAnsi="PMingLiU" w:eastAsia="PMingLiU" w:cs="PMingLiU"/>
      <w:sz w:val="20"/>
      <w:szCs w:val="20"/>
    </w:rPr>
  </w:style>
  <w:style w:type="character" w:customStyle="1" w:styleId="37">
    <w:name w:val="Header or footer|1 + Times New Roman1"/>
    <w:basedOn w:val="20"/>
    <w:semiHidden/>
    <w:unhideWhenUsed/>
    <w:qFormat/>
    <w:uiPriority w:val="0"/>
    <w:rPr>
      <w:rFonts w:ascii="Times New Roman" w:hAnsi="Times New Roman" w:eastAsia="Times New Roman" w:cs="Times New Roman"/>
      <w:color w:val="000000"/>
      <w:spacing w:val="0"/>
      <w:w w:val="100"/>
      <w:position w:val="0"/>
      <w:sz w:val="11"/>
      <w:szCs w:val="11"/>
      <w:u w:val="none"/>
      <w:lang w:val="en-US" w:eastAsia="en-US" w:bidi="en-US"/>
    </w:rPr>
  </w:style>
  <w:style w:type="character" w:customStyle="1" w:styleId="38">
    <w:name w:val="Header or footer|1 + 10 pt"/>
    <w:basedOn w:val="20"/>
    <w:semiHidden/>
    <w:unhideWhenUsed/>
    <w:qFormat/>
    <w:uiPriority w:val="0"/>
    <w:rPr>
      <w:rFonts w:ascii="PMingLiU" w:hAnsi="PMingLiU" w:eastAsia="PMingLiU" w:cs="PMingLiU"/>
      <w:color w:val="000000"/>
      <w:spacing w:val="30"/>
      <w:w w:val="80"/>
      <w:position w:val="0"/>
      <w:sz w:val="20"/>
      <w:szCs w:val="20"/>
      <w:u w:val="none"/>
      <w:lang w:val="zh-CN" w:eastAsia="zh-CN" w:bidi="zh-CN"/>
    </w:rPr>
  </w:style>
  <w:style w:type="character" w:customStyle="1" w:styleId="39">
    <w:name w:val="Header or footer|1 + Times New Roman2"/>
    <w:basedOn w:val="20"/>
    <w:semiHidden/>
    <w:unhideWhenUsed/>
    <w:qFormat/>
    <w:uiPriority w:val="0"/>
    <w:rPr>
      <w:rFonts w:ascii="Times New Roman" w:hAnsi="Times New Roman" w:eastAsia="Times New Roman" w:cs="Times New Roman"/>
      <w:b/>
      <w:bCs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40">
    <w:name w:val="Body text|2 + 10.5 pt"/>
    <w:basedOn w:val="12"/>
    <w:semiHidden/>
    <w:unhideWhenUsed/>
    <w:qFormat/>
    <w:uiPriority w:val="0"/>
    <w:rPr>
      <w:rFonts w:ascii="PMingLiU" w:hAnsi="PMingLiU" w:eastAsia="PMingLiU" w:cs="PMingLiU"/>
      <w:color w:val="000000"/>
      <w:spacing w:val="60"/>
      <w:w w:val="100"/>
      <w:position w:val="0"/>
      <w:sz w:val="21"/>
      <w:szCs w:val="21"/>
      <w:u w:val="none"/>
      <w:lang w:val="zh-CN" w:eastAsia="zh-CN" w:bidi="zh-CN"/>
    </w:rPr>
  </w:style>
  <w:style w:type="character" w:customStyle="1" w:styleId="41">
    <w:name w:val="Body text|5 + 5 pt"/>
    <w:basedOn w:val="10"/>
    <w:semiHidden/>
    <w:unhideWhenUsed/>
    <w:qFormat/>
    <w:uiPriority w:val="0"/>
    <w:rPr>
      <w:rFonts w:ascii="PMingLiU" w:hAnsi="PMingLiU" w:eastAsia="PMingLiU" w:cs="PMingLiU"/>
      <w:color w:val="000000"/>
      <w:spacing w:val="30"/>
      <w:w w:val="100"/>
      <w:position w:val="0"/>
      <w:sz w:val="10"/>
      <w:szCs w:val="10"/>
      <w:u w:val="none"/>
      <w:lang w:val="zh-CN" w:eastAsia="zh-CN" w:bidi="zh-CN"/>
    </w:rPr>
  </w:style>
  <w:style w:type="character" w:customStyle="1" w:styleId="42">
    <w:name w:val="Body text|5 + Not Bold"/>
    <w:basedOn w:val="10"/>
    <w:semiHidden/>
    <w:unhideWhenUsed/>
    <w:qFormat/>
    <w:uiPriority w:val="0"/>
    <w:rPr>
      <w:rFonts w:ascii="PMingLiU" w:hAnsi="PMingLiU" w:eastAsia="PMingLiU" w:cs="PMingLiU"/>
      <w:color w:val="000000"/>
      <w:spacing w:val="0"/>
      <w:w w:val="100"/>
      <w:position w:val="0"/>
      <w:sz w:val="30"/>
      <w:szCs w:val="30"/>
      <w:u w:val="none"/>
      <w:lang w:val="zh-CN" w:eastAsia="zh-CN" w:bidi="zh-CN"/>
    </w:rPr>
  </w:style>
  <w:style w:type="character" w:customStyle="1" w:styleId="43">
    <w:name w:val="Body text|8_"/>
    <w:basedOn w:val="3"/>
    <w:link w:val="44"/>
    <w:qFormat/>
    <w:uiPriority w:val="0"/>
    <w:rPr>
      <w:rFonts w:ascii="PMingLiU" w:hAnsi="PMingLiU" w:eastAsia="PMingLiU" w:cs="PMingLiU"/>
      <w:sz w:val="30"/>
      <w:szCs w:val="30"/>
      <w:u w:val="none"/>
    </w:rPr>
  </w:style>
  <w:style w:type="paragraph" w:customStyle="1" w:styleId="44">
    <w:name w:val="Body text|8"/>
    <w:basedOn w:val="1"/>
    <w:link w:val="43"/>
    <w:qFormat/>
    <w:uiPriority w:val="0"/>
    <w:pPr>
      <w:shd w:val="clear" w:color="auto" w:fill="FFFFFF"/>
      <w:spacing w:line="600" w:lineRule="exact"/>
      <w:ind w:firstLine="720"/>
      <w:jc w:val="distribute"/>
    </w:pPr>
    <w:rPr>
      <w:rFonts w:ascii="PMingLiU" w:hAnsi="PMingLiU" w:eastAsia="PMingLiU" w:cs="PMingLiU"/>
      <w:sz w:val="30"/>
      <w:szCs w:val="30"/>
    </w:rPr>
  </w:style>
  <w:style w:type="character" w:customStyle="1" w:styleId="45">
    <w:name w:val="Body text|2 + 12 pt1"/>
    <w:basedOn w:val="12"/>
    <w:semiHidden/>
    <w:unhideWhenUsed/>
    <w:qFormat/>
    <w:uiPriority w:val="0"/>
    <w:rPr>
      <w:rFonts w:ascii="PMingLiU" w:hAnsi="PMingLiU" w:eastAsia="PMingLiU" w:cs="PMingLiU"/>
      <w:color w:val="000000"/>
      <w:spacing w:val="20"/>
      <w:w w:val="100"/>
      <w:position w:val="0"/>
      <w:sz w:val="24"/>
      <w:szCs w:val="24"/>
      <w:u w:val="none"/>
      <w:lang w:val="zh-CN" w:eastAsia="zh-CN" w:bidi="zh-CN"/>
    </w:rPr>
  </w:style>
  <w:style w:type="character" w:customStyle="1" w:styleId="46">
    <w:name w:val="font21"/>
    <w:basedOn w:val="3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47">
    <w:name w:val="font31"/>
    <w:basedOn w:val="3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theme" Target="theme/theme1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  <customShpExts>
    <customShpInfo spid="_x0000_s3073"/>
    <customShpInfo spid="_x0000_s3074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16</Pages>
  <Words>5121</Words>
  <Characters>5626</Characters>
  <Lines>27</Lines>
  <Paragraphs>7</Paragraphs>
  <TotalTime>5</TotalTime>
  <ScaleCrop>false</ScaleCrop>
  <LinksUpToDate>false</LinksUpToDate>
  <CharactersWithSpaces>5900</CharactersWithSpaces>
  <Application>WPS Office_11.8.2.8506_F1E327BC-269C-435d-A152-05C5408002CA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2020-02-29T00:40:00Z</dcterms:created>
  <dc:creator>Administrator</dc:creator>
  <cp:lastModifiedBy>Administrator</cp:lastModifiedBy>
  <cp:lastPrinted>2019-02-18T00:59:00Z</cp:lastPrinted>
  <dcterms:modified xsi:type="dcterms:W3CDTF">2022-08-26T02:12:55Z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2052-11.8.2.8506</vt:lpwstr>
  </property>
  <property fmtid="{D5CDD505-2E9C-101B-9397-08002B2CF9AE}" pid="3" name="ICV">
    <vt:lpwstr>1E3EF6FA6F794E78914C1CC81DBAE7F0</vt:lpwstr>
  </property>
</Properties>
</file>