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shd w:val="clear" w:color="auto" w:fill="auto"/>
        <w:spacing w:after="0" w:line="900" w:lineRule="exact"/>
        <w:rPr>
          <w:b/>
          <w:bCs/>
        </w:rPr>
      </w:pPr>
      <w:r>
        <w:rPr>
          <w:rFonts w:hint="eastAsia" w:eastAsia="宋体"/>
          <w:b/>
          <w:bCs/>
        </w:rPr>
        <w:t>石台县</w:t>
      </w:r>
      <w:r>
        <w:rPr>
          <w:rFonts w:hint="eastAsia" w:eastAsia="宋体"/>
          <w:b/>
          <w:bCs/>
          <w:lang w:val="en-US"/>
        </w:rPr>
        <w:t>广播电视台</w:t>
      </w:r>
      <w:r>
        <w:rPr>
          <w:rStyle w:val="13"/>
        </w:rPr>
        <w:t>20</w:t>
      </w:r>
      <w:r>
        <w:rPr>
          <w:rStyle w:val="13"/>
          <w:rFonts w:hint="eastAsia"/>
          <w:lang w:val="en-US"/>
        </w:rPr>
        <w:t>21</w:t>
      </w:r>
      <w:r>
        <w:rPr>
          <w:rStyle w:val="13"/>
          <w:rFonts w:hint="eastAsia"/>
        </w:rPr>
        <w:t>年</w:t>
      </w:r>
      <w:r>
        <w:rPr>
          <w:rFonts w:hint="eastAsia"/>
          <w:b/>
          <w:bCs/>
        </w:rPr>
        <w:t>部门预算</w:t>
      </w: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</w:pPr>
    </w:p>
    <w:p>
      <w:pPr>
        <w:pStyle w:val="12"/>
        <w:shd w:val="clear" w:color="auto" w:fill="auto"/>
        <w:spacing w:after="0" w:line="560" w:lineRule="exact"/>
        <w:jc w:val="both"/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 w:eastAsia="宋体"/>
          <w:lang w:val="en-US" w:eastAsia="zh-CN"/>
        </w:rPr>
      </w:pPr>
      <w:r>
        <w:rPr>
          <w:rStyle w:val="16"/>
        </w:rPr>
        <w:t>20</w:t>
      </w:r>
      <w:r>
        <w:rPr>
          <w:rStyle w:val="16"/>
          <w:rFonts w:hint="eastAsia"/>
          <w:lang w:val="en-US"/>
        </w:rPr>
        <w:t>21</w:t>
      </w:r>
      <w:r>
        <w:rPr>
          <w:rStyle w:val="16"/>
          <w:rFonts w:hint="eastAsia"/>
        </w:rPr>
        <w:t>年</w:t>
      </w:r>
      <w:r>
        <w:rPr>
          <w:rStyle w:val="16"/>
          <w:rFonts w:hint="eastAsia"/>
          <w:lang w:val="en-US"/>
        </w:rPr>
        <w:t>2</w:t>
      </w:r>
      <w:r>
        <w:rPr>
          <w:rStyle w:val="16"/>
          <w:rFonts w:hint="eastAsia"/>
        </w:rPr>
        <w:t>月</w:t>
      </w: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jc w:val="both"/>
        <w:rPr>
          <w:rStyle w:val="16"/>
          <w:rFonts w:hint="eastAsia"/>
        </w:rPr>
      </w:pPr>
    </w:p>
    <w:p>
      <w:pPr>
        <w:pStyle w:val="12"/>
        <w:shd w:val="clear" w:color="auto" w:fill="auto"/>
        <w:spacing w:after="0" w:line="560" w:lineRule="exact"/>
        <w:jc w:val="center"/>
        <w:rPr>
          <w:rStyle w:val="16"/>
          <w:rFonts w:hint="eastAsia" w:eastAsia="宋体"/>
          <w:lang w:val="en-US" w:eastAsia="zh-CN"/>
        </w:rPr>
      </w:pPr>
      <w:r>
        <w:rPr>
          <w:rStyle w:val="16"/>
          <w:rFonts w:hint="eastAsia" w:eastAsia="宋体"/>
          <w:lang w:val="en-US" w:eastAsia="zh-CN"/>
        </w:rPr>
        <w:t>目录</w:t>
      </w:r>
    </w:p>
    <w:p>
      <w:pPr>
        <w:pStyle w:val="18"/>
        <w:shd w:val="clear" w:color="auto" w:fill="auto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第一部分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hint="eastAsia" w:ascii="宋体" w:hAnsi="宋体" w:eastAsia="宋体" w:cs="宋体"/>
        </w:rPr>
        <w:t>部门概况</w:t>
      </w:r>
    </w:p>
    <w:p>
      <w:pPr>
        <w:pStyle w:val="18"/>
        <w:numPr>
          <w:ilvl w:val="0"/>
          <w:numId w:val="1"/>
        </w:numPr>
        <w:rPr>
          <w:rFonts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</w:rPr>
        <w:t>主要职责</w:t>
      </w:r>
    </w:p>
    <w:p>
      <w:pPr>
        <w:pStyle w:val="18"/>
        <w:numPr>
          <w:ilvl w:val="0"/>
          <w:numId w:val="1"/>
        </w:numPr>
        <w:rPr>
          <w:rFonts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</w:rPr>
        <w:t>部门预算单位构成</w:t>
      </w:r>
    </w:p>
    <w:p>
      <w:pPr>
        <w:pStyle w:val="20"/>
        <w:numPr>
          <w:ilvl w:val="0"/>
          <w:numId w:val="1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年度主要工作任务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eastAsia" w:ascii="宋体" w:hAnsi="宋体" w:eastAsia="宋体" w:cs="宋体"/>
        </w:rPr>
        <w:t>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ascii="宋体" w:hAnsi="宋体" w:eastAsia="宋体" w:cs="宋体"/>
        </w:rPr>
        <w:t>2</w:t>
      </w:r>
      <w:r>
        <w:rPr>
          <w:rFonts w:hint="eastAsia" w:ascii="宋体" w:hAnsi="宋体" w:eastAsia="宋体" w:cs="宋体"/>
          <w:lang w:val="en-US" w:eastAsia="zh-CN"/>
        </w:rPr>
        <w:t>021</w:t>
      </w:r>
      <w:r>
        <w:rPr>
          <w:rFonts w:hint="eastAsia" w:ascii="宋体" w:hAnsi="宋体" w:eastAsia="宋体" w:cs="宋体"/>
        </w:rPr>
        <w:t>年部门预算情况说明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1.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年财政拨款收支预算总体情况说明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2.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年一般公共预算财政拨款情况说明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3.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年一般公共预算基本支出情况说明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</w:rPr>
        <w:t>4.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年政府性基金预算拨款情况说明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5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年收支预算总体情况说明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6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年收入预算情况说明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7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年支出预算情况说明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8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关于</w:t>
      </w:r>
      <w:r>
        <w:rPr>
          <w:rFonts w:ascii="宋体" w:hAnsi="宋体" w:eastAsia="宋体" w:cs="宋体"/>
          <w:b w:val="0"/>
          <w:bCs w:val="0"/>
        </w:rPr>
        <w:t>20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</w:rPr>
        <w:t>年国有资本经营预算拨款情况说明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  <w:lang w:val="en-US"/>
        </w:rPr>
      </w:pPr>
      <w:r>
        <w:rPr>
          <w:rFonts w:ascii="宋体" w:hAnsi="宋体" w:eastAsia="宋体" w:cs="宋体"/>
          <w:b w:val="0"/>
          <w:bCs w:val="0"/>
          <w:lang w:val="en-US"/>
        </w:rPr>
        <w:t>9.</w:t>
      </w:r>
      <w:r>
        <w:rPr>
          <w:rFonts w:hint="eastAsia" w:ascii="宋体" w:hAnsi="宋体" w:eastAsia="宋体" w:cs="宋体"/>
          <w:b w:val="0"/>
          <w:bCs w:val="0"/>
          <w:lang w:val="en-US"/>
        </w:rPr>
        <w:t>批复绩效目标的项目及绩效目标设置情况说明</w:t>
      </w:r>
    </w:p>
    <w:p>
      <w:pPr>
        <w:pStyle w:val="20"/>
        <w:widowControl w:val="0"/>
        <w:numPr>
          <w:ilvl w:val="0"/>
          <w:numId w:val="0"/>
        </w:numPr>
        <w:shd w:val="clear" w:color="auto" w:fill="auto"/>
        <w:tabs>
          <w:tab w:val="left" w:pos="392"/>
        </w:tabs>
        <w:spacing w:line="538" w:lineRule="exact"/>
        <w:rPr>
          <w:rFonts w:hint="eastAsia" w:ascii="宋体" w:hAnsi="宋体" w:eastAsia="宋体" w:cs="宋体"/>
          <w:b w:val="0"/>
          <w:bCs w:val="0"/>
        </w:rPr>
      </w:pPr>
      <w:r>
        <w:rPr>
          <w:rFonts w:ascii="宋体" w:hAnsi="宋体" w:eastAsia="宋体" w:cs="宋体"/>
          <w:b w:val="0"/>
          <w:bCs w:val="0"/>
          <w:lang w:val="en-US"/>
        </w:rPr>
        <w:t>10</w:t>
      </w:r>
      <w:r>
        <w:rPr>
          <w:rFonts w:ascii="宋体" w:hAnsi="宋体" w:eastAsia="宋体" w:cs="宋体"/>
          <w:b w:val="0"/>
          <w:bCs w:val="0"/>
        </w:rPr>
        <w:t>.</w:t>
      </w:r>
      <w:r>
        <w:rPr>
          <w:rFonts w:hint="eastAsia" w:ascii="宋体" w:hAnsi="宋体" w:eastAsia="宋体" w:cs="宋体"/>
          <w:b w:val="0"/>
          <w:bCs w:val="0"/>
        </w:rPr>
        <w:t>其他重要事项情况说明（含机关运行经费、政府采购预算、政府购买服务预算、国有资产占用情况等说明）</w:t>
      </w:r>
    </w:p>
    <w:p>
      <w:pPr>
        <w:pStyle w:val="20"/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</w:rPr>
        <w:t>第三部分</w:t>
      </w:r>
      <w:r>
        <w:rPr>
          <w:rStyle w:val="22"/>
          <w:rFonts w:ascii="宋体" w:hAnsi="宋体" w:eastAsia="宋体" w:cs="宋体"/>
          <w:lang w:val="en-US"/>
        </w:rPr>
        <w:t xml:space="preserve"> </w:t>
      </w:r>
      <w:r>
        <w:rPr>
          <w:rStyle w:val="22"/>
          <w:rFonts w:hint="eastAsia" w:ascii="宋体" w:hAnsi="宋体" w:eastAsia="宋体" w:cs="宋体"/>
        </w:rPr>
        <w:t>名词解释</w:t>
      </w:r>
    </w:p>
    <w:p>
      <w:pPr>
        <w:pStyle w:val="20"/>
        <w:widowControl w:val="0"/>
        <w:numPr>
          <w:ilvl w:val="0"/>
          <w:numId w:val="0"/>
        </w:numPr>
        <w:shd w:val="clear" w:color="auto" w:fill="auto"/>
        <w:tabs>
          <w:tab w:val="left" w:pos="392"/>
        </w:tabs>
        <w:spacing w:line="538" w:lineRule="exact"/>
        <w:rPr>
          <w:rFonts w:hint="eastAsia" w:ascii="宋体" w:hAnsi="宋体" w:eastAsia="宋体" w:cs="宋体"/>
          <w:b w:val="0"/>
          <w:bCs w:val="0"/>
        </w:rPr>
      </w:pP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</w:t>
      </w: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年部门预算表（附表）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38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年部门财政拨款收支预算总表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年部门一般公共预算支出预算表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年部门一般公共预算基本支出预算表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年部门政府性基金预算支出预算表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年部门收支预算总表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年部门收入预算总表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年部门支出预算总表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411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  <w:lang w:val="en-US"/>
        </w:rPr>
        <w:t>年部门</w:t>
      </w:r>
      <w:r>
        <w:rPr>
          <w:rFonts w:hint="eastAsia" w:ascii="宋体" w:hAnsi="宋体" w:eastAsia="宋体" w:cs="宋体"/>
        </w:rPr>
        <w:t>国有资本经营预算支出预算表</w:t>
      </w:r>
    </w:p>
    <w:p>
      <w:pPr>
        <w:pStyle w:val="20"/>
        <w:numPr>
          <w:ilvl w:val="0"/>
          <w:numId w:val="2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  <w:lang w:val="en-US"/>
        </w:rPr>
        <w:t>年部门政府采购预算表</w:t>
      </w:r>
    </w:p>
    <w:p>
      <w:pPr>
        <w:pStyle w:val="20"/>
        <w:numPr>
          <w:ilvl w:val="0"/>
          <w:numId w:val="0"/>
        </w:numPr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10.20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  <w:lang w:val="en-US"/>
        </w:rPr>
        <w:t>年政府购买服务预算表</w:t>
      </w:r>
    </w:p>
    <w:p>
      <w:pPr>
        <w:pStyle w:val="18"/>
        <w:shd w:val="clear" w:color="auto" w:fill="auto"/>
        <w:spacing w:line="538" w:lineRule="exact"/>
        <w:rPr>
          <w:rFonts w:ascii="宋体" w:hAnsi="宋体" w:eastAsia="宋体" w:cs="宋体"/>
          <w:b w:val="0"/>
          <w:bCs w:val="0"/>
          <w:highlight w:val="yellow"/>
        </w:rPr>
      </w:pPr>
      <w:r>
        <w:rPr>
          <w:rFonts w:ascii="宋体" w:hAnsi="宋体" w:eastAsia="宋体" w:cs="宋体"/>
          <w:b w:val="0"/>
          <w:bCs w:val="0"/>
        </w:rPr>
        <w:t xml:space="preserve"> </w:t>
      </w:r>
    </w:p>
    <w:p>
      <w:pPr>
        <w:pStyle w:val="20"/>
        <w:shd w:val="clear" w:color="auto" w:fill="auto"/>
        <w:tabs>
          <w:tab w:val="left" w:pos="392"/>
        </w:tabs>
        <w:spacing w:line="538" w:lineRule="exact"/>
        <w:rPr>
          <w:rFonts w:ascii="宋体" w:hAnsi="宋体" w:eastAsia="宋体" w:cs="宋体"/>
        </w:rPr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/>
        <w:ind w:left="80"/>
      </w:pPr>
    </w:p>
    <w:p>
      <w:pPr>
        <w:pStyle w:val="24"/>
        <w:shd w:val="clear" w:color="auto" w:fill="auto"/>
        <w:spacing w:after="81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第一部分</w:t>
      </w:r>
      <w:r>
        <w:rPr>
          <w:rFonts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部门概况</w:t>
      </w:r>
    </w:p>
    <w:p>
      <w:pPr>
        <w:pStyle w:val="18"/>
        <w:shd w:val="clear" w:color="auto" w:fill="auto"/>
        <w:tabs>
          <w:tab w:val="left" w:pos="1301"/>
        </w:tabs>
        <w:spacing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</w:t>
      </w:r>
      <w:r>
        <w:rPr>
          <w:rFonts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（一）贯彻执行党和国家以及省、市、县有关新闻宣传、广播电视、网络及其他媒体管理等方面的方针、政策、法规和要求，坚持正确舆论导向，认真落实意识形态责任制，充分发挥党和政府的喉舌作用。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二）全面、准确、及时宣传党的路线、方针、政策，负责全县网络媒体、广播电视及纸质媒体宣传工作，围绕服务县委县政府中心工作，积极开展全媒体宣传。负责组织全县对外宣传和媒体对外通联工作，协助配合上级或外地新闻媒体采访及其他工作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三）根据国家、省、市、县的总体规划和要求，拟订全县融媒体事业发展规划、计划，经批准后组织实施。负责广播、电视、网站、微信等媒体的融合发展、安全播出、技术保障和转载工作。负责融媒体平台建设、事业和产业发展，组织融媒体建设领域新技术、新项目的研究、开发和利用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（四）负责融媒体的舆论宣传策划、采集、编辑、发布、播出及收集、归类、保存开发利用等工作。负责保障广播电视、新媒体节目播出安全，按规定完整转播中央、省、市广播电视节目。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（五）负责广播电视、报纸及新媒体节目的审核、传播和运营，办好健康向上的传统媒体及新媒体节目。负责各类广播电视节目、纸媒、新兴媒体作品的创新创优工作。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（六）负责组织实施全县广播电视传输覆盖网络建设、运营与管理。负责组织实施全县应急广播建设、维护与管理。大力发展广播电视网络与无线数字广播、有线数字电视事业。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bookmarkStart w:id="0" w:name="OLE_LINK1"/>
      <w:bookmarkEnd w:id="0"/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（七）发挥媒体优势，全力打造“媒体+政务+服务”于一体的融媒体平台，为群众提供信息服务、政务服务和便民服务。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（八）负责依法开展融媒体广告经营活动，组织融媒体相关产业的开发、运营。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（九）加强融媒体通讯员队伍建设等有关工作。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（十）加强县融媒体中心队伍的思想政治建设、业务培训和职业道德教育，加强中心系统的人才队伍建设。研究和推进中心系统内部管理体制的改革。</w:t>
      </w:r>
    </w:p>
    <w:p>
      <w:pPr>
        <w:shd w:val="clear" w:color="auto" w:fill="FFFFFF"/>
        <w:spacing w:line="560" w:lineRule="exac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（十一）负责县融媒体中心内部人财物的统一管理，负责融媒体中心国有资产的监管，确保保值增值。</w:t>
      </w:r>
    </w:p>
    <w:p>
      <w:pPr>
        <w:pStyle w:val="4"/>
        <w:spacing w:before="0" w:beforeAutospacing="0" w:after="225" w:afterAutospacing="0" w:line="360" w:lineRule="atLeast"/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（十二）承办县委、县政府交办的其他事项。　</w:t>
      </w:r>
    </w:p>
    <w:p>
      <w:pPr>
        <w:pStyle w:val="18"/>
        <w:shd w:val="clear" w:color="auto" w:fill="auto"/>
        <w:tabs>
          <w:tab w:val="left" w:pos="1301"/>
        </w:tabs>
        <w:spacing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</w:t>
      </w:r>
      <w:r>
        <w:rPr>
          <w:rFonts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tbl>
      <w:tblPr>
        <w:tblStyle w:val="5"/>
        <w:tblW w:w="9014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2"/>
        <w:gridCol w:w="3600"/>
        <w:gridCol w:w="4502"/>
      </w:tblGrid>
      <w:tr>
        <w:trPr>
          <w:trHeight w:val="408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20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2"/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20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2"/>
                <w:rFonts w:hint="eastAsia" w:ascii="仿宋" w:hAnsi="仿宋" w:eastAsia="仿宋" w:cs="仿宋"/>
              </w:rPr>
              <w:t>单位名称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0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2"/>
                <w:rFonts w:hint="eastAsia" w:ascii="仿宋" w:hAnsi="仿宋" w:eastAsia="仿宋" w:cs="仿宋"/>
              </w:rPr>
              <w:t>单位性质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20"/>
              <w:framePr w:w="9014" w:wrap="notBeside" w:vAnchor="text" w:hAnchor="page" w:x="1416" w:y="1991"/>
              <w:shd w:val="clear" w:color="auto" w:fill="auto"/>
              <w:spacing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52"/>
                <w:rFonts w:ascii="仿宋" w:hAnsi="仿宋" w:eastAsia="仿宋" w:cs="仿宋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20"/>
              <w:framePr w:w="9014" w:wrap="notBeside" w:vAnchor="text" w:hAnchor="page" w:x="1416" w:y="1991"/>
              <w:shd w:val="clear" w:color="auto" w:fill="auto"/>
              <w:spacing w:line="360" w:lineRule="auto"/>
              <w:jc w:val="center"/>
              <w:rPr>
                <w:rFonts w:ascii="仿宋" w:hAnsi="仿宋" w:eastAsia="宋体" w:cs="仿宋"/>
                <w:sz w:val="24"/>
                <w:szCs w:val="24"/>
              </w:rPr>
            </w:pPr>
            <w:r>
              <w:rPr>
                <w:rStyle w:val="52"/>
                <w:rFonts w:hint="eastAsia" w:eastAsia="宋体"/>
              </w:rPr>
              <w:t>石台县广播电视台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0"/>
              <w:framePr w:w="9014" w:wrap="notBeside" w:vAnchor="text" w:hAnchor="page" w:x="1416" w:y="1991"/>
              <w:shd w:val="clear" w:color="auto" w:fill="auto"/>
              <w:spacing w:line="360" w:lineRule="auto"/>
              <w:ind w:firstLine="600" w:firstLineChars="200"/>
              <w:jc w:val="center"/>
              <w:rPr>
                <w:rFonts w:hint="eastAsia" w:ascii="宋体" w:hAnsi="宋体" w:eastAsia="宋体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szCs w:val="24"/>
                <w:lang w:val="en-US" w:eastAsia="zh-CN"/>
              </w:rPr>
              <w:t>公益一类事业单位</w:t>
            </w:r>
          </w:p>
        </w:tc>
      </w:tr>
    </w:tbl>
    <w:p>
      <w:pPr>
        <w:framePr w:w="9014" w:wrap="notBeside" w:vAnchor="text" w:hAnchor="page" w:x="1416" w:y="1991"/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仿宋"/>
        </w:rPr>
      </w:pPr>
      <w:r>
        <w:rPr>
          <w:rFonts w:hint="eastAsia" w:ascii="宋体" w:hAnsi="宋体" w:eastAsia="宋体" w:cs="Arial"/>
          <w:color w:val="333333"/>
        </w:rPr>
        <w:t>根据上述职责，石台县广播电视台</w:t>
      </w:r>
      <w:r>
        <w:rPr>
          <w:rFonts w:hint="eastAsia" w:ascii="宋体" w:hAnsi="宋体" w:eastAsia="宋体" w:cs="仿宋"/>
        </w:rPr>
        <w:t>纳入部门预算编制范围的单位共</w:t>
      </w:r>
      <w:r>
        <w:rPr>
          <w:rFonts w:ascii="宋体" w:hAnsi="宋体" w:eastAsia="宋体" w:cs="仿宋"/>
          <w:lang w:val="en-US"/>
        </w:rPr>
        <w:t>1</w:t>
      </w:r>
      <w:r>
        <w:rPr>
          <w:rFonts w:hint="eastAsia" w:ascii="宋体" w:hAnsi="宋体" w:eastAsia="宋体" w:cs="仿宋"/>
        </w:rPr>
        <w:t>个，具体情况见下表。</w:t>
      </w:r>
    </w:p>
    <w:p>
      <w:pPr>
        <w:pStyle w:val="18"/>
        <w:shd w:val="clear" w:color="auto" w:fill="auto"/>
        <w:spacing w:before="694" w:after="65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8"/>
        <w:shd w:val="clear" w:color="auto" w:fill="auto"/>
        <w:spacing w:before="694" w:after="65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</w:t>
      </w:r>
      <w:r>
        <w:rPr>
          <w:rFonts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>
      <w:pPr>
        <w:numPr>
          <w:ilvl w:val="0"/>
          <w:numId w:val="3"/>
        </w:numPr>
        <w:ind w:left="-10" w:leftChars="0" w:firstLine="640" w:firstLineChars="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围绕中心工作加强提升广播电视宣传质量和水平，确保全年在中央、省台、市台、县台发稿任务。</w:t>
      </w:r>
    </w:p>
    <w:p>
      <w:pPr>
        <w:numPr>
          <w:ilvl w:val="0"/>
          <w:numId w:val="3"/>
        </w:numPr>
        <w:ind w:left="-10" w:leftChars="0" w:firstLine="640" w:firstLineChars="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与池州市电视台、旅游交通广播继续办好联合节目，扩大外宣。</w:t>
      </w:r>
    </w:p>
    <w:p>
      <w:pPr>
        <w:ind w:firstLine="720" w:firstLineChars="200"/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、继续拍摄制作</w:t>
      </w:r>
      <w:r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 xml:space="preserve"> 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“游在石台”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等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专题节目。</w:t>
      </w:r>
    </w:p>
    <w:p>
      <w:pPr>
        <w:ind w:firstLine="720" w:firstLineChars="200"/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4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、办好石台县旅游交通广播</w:t>
      </w:r>
      <w:r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FM87.8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。</w:t>
      </w:r>
    </w:p>
    <w:p>
      <w:pPr>
        <w:ind w:firstLine="720" w:firstLineChars="200"/>
        <w:rPr>
          <w:rFonts w:hint="default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5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做好全县应急广播运行维护工作。</w:t>
      </w:r>
    </w:p>
    <w:p>
      <w:pPr>
        <w:ind w:firstLine="720" w:firstLineChars="200"/>
        <w:rPr>
          <w:rFonts w:hint="default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6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、开展全年业务练兵，提升全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中心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采编播人员业务水平和业务能力，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组织学习培训6次。</w:t>
      </w:r>
    </w:p>
    <w:p>
      <w:pPr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7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、创新机制促进媒体融合发展。</w:t>
      </w:r>
    </w:p>
    <w:p>
      <w:pPr>
        <w:ind w:firstLine="720" w:firstLineChars="200"/>
        <w:rPr>
          <w:rFonts w:hint="default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8、举办“‘起航新一年 融媒创未来’2021石台县融媒体中心媒体资源推介暨元旦文艺晚会”。</w:t>
      </w:r>
    </w:p>
    <w:p>
      <w:pPr>
        <w:ind w:firstLine="720" w:firstLineChars="200"/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9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、做好党建及党风廉政建设、综治、双拥、档案、法治、文明创建等工作。</w:t>
      </w:r>
    </w:p>
    <w:p>
      <w:pPr>
        <w:ind w:firstLine="720" w:firstLineChars="200"/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10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、继续推进七井山、白石岭、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库山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等片区摄影基地建设。</w:t>
      </w:r>
    </w:p>
    <w:p>
      <w:pPr>
        <w:ind w:firstLine="720" w:firstLineChars="200"/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11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、与国家级摄影专业媒体举办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2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次全国摄影大展。</w:t>
      </w:r>
    </w:p>
    <w:p>
      <w:pPr>
        <w:ind w:firstLine="720" w:firstLineChars="200"/>
        <w:rPr>
          <w:rFonts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1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en-US" w:eastAsia="zh-CN" w:bidi="ar-SA"/>
        </w:rPr>
        <w:t>2</w:t>
      </w:r>
      <w:r>
        <w:rPr>
          <w:rFonts w:hint="eastAsia" w:ascii="宋体" w:hAnsi="宋体" w:eastAsia="宋体" w:cs="宋体"/>
          <w:color w:val="000000"/>
          <w:spacing w:val="30"/>
          <w:kern w:val="0"/>
          <w:sz w:val="30"/>
          <w:szCs w:val="30"/>
          <w:lang w:val="zh-CN" w:eastAsia="zh-CN" w:bidi="ar-SA"/>
        </w:rPr>
        <w:t>、完成县委、县政府下达的其他工作目标任务。</w:t>
      </w:r>
    </w:p>
    <w:p>
      <w:pPr>
        <w:pStyle w:val="24"/>
        <w:shd w:val="clear" w:color="auto" w:fill="auto"/>
        <w:spacing w:after="0" w:line="360" w:lineRule="auto"/>
        <w:ind w:firstLine="763" w:firstLineChars="200"/>
        <w:rPr>
          <w:rFonts w:hint="eastAsia" w:ascii="仿宋" w:hAnsi="仿宋" w:eastAsia="仿宋" w:cs="仿宋"/>
          <w:b/>
          <w:bCs/>
        </w:rPr>
      </w:pPr>
    </w:p>
    <w:p>
      <w:pPr>
        <w:pStyle w:val="24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</w:t>
      </w:r>
      <w:r>
        <w:rPr>
          <w:rFonts w:hint="eastAsia" w:ascii="仿宋" w:hAnsi="仿宋" w:eastAsia="仿宋" w:cs="仿宋"/>
          <w:b/>
          <w:bCs/>
          <w:lang w:eastAsia="zh-CN"/>
        </w:rPr>
        <w:t>二</w:t>
      </w:r>
      <w:r>
        <w:rPr>
          <w:rFonts w:hint="eastAsia" w:ascii="仿宋" w:hAnsi="仿宋" w:eastAsia="仿宋" w:cs="仿宋"/>
          <w:b/>
          <w:bCs/>
        </w:rPr>
        <w:t>部分</w:t>
      </w:r>
      <w:r>
        <w:rPr>
          <w:rFonts w:ascii="仿宋" w:hAnsi="仿宋" w:eastAsia="仿宋" w:cs="仿宋"/>
          <w:b/>
          <w:bCs/>
          <w:lang w:val="en-US"/>
        </w:rPr>
        <w:t xml:space="preserve"> </w:t>
      </w:r>
      <w:r>
        <w:rPr>
          <w:rStyle w:val="26"/>
          <w:rFonts w:ascii="仿宋" w:hAnsi="仿宋" w:eastAsia="仿宋" w:cs="仿宋"/>
          <w:b/>
          <w:bCs/>
          <w:sz w:val="32"/>
          <w:szCs w:val="32"/>
        </w:rPr>
        <w:t>2</w:t>
      </w:r>
      <w:r>
        <w:rPr>
          <w:rStyle w:val="26"/>
          <w:rFonts w:hint="eastAsia" w:ascii="仿宋" w:hAnsi="仿宋" w:eastAsia="仿宋" w:cs="仿宋"/>
          <w:b/>
          <w:bCs/>
          <w:sz w:val="32"/>
          <w:szCs w:val="32"/>
          <w:lang w:val="en-US"/>
        </w:rPr>
        <w:t>021</w:t>
      </w:r>
      <w:r>
        <w:rPr>
          <w:rStyle w:val="26"/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</w:rPr>
        <w:t>部门预算情况说明</w:t>
      </w:r>
    </w:p>
    <w:p>
      <w:pPr>
        <w:pStyle w:val="18"/>
        <w:shd w:val="clear" w:color="auto" w:fill="auto"/>
        <w:tabs>
          <w:tab w:val="left" w:pos="1473"/>
        </w:tabs>
        <w:spacing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8"/>
          <w:rFonts w:hint="eastAsia" w:ascii="仿宋" w:hAnsi="仿宋" w:eastAsia="仿宋" w:cs="仿宋"/>
          <w:b w:val="0"/>
          <w:bCs w:val="0"/>
          <w:sz w:val="32"/>
          <w:szCs w:val="32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>关于</w:t>
      </w:r>
      <w:r>
        <w:rPr>
          <w:rFonts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年财政拨款收支预算总体情况说明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年财政拨款收支预算</w:t>
      </w:r>
      <w:r>
        <w:rPr>
          <w:rFonts w:hint="eastAsia" w:ascii="宋体" w:hAnsi="宋体" w:eastAsia="宋体" w:cs="宋体"/>
          <w:lang w:val="en-US" w:eastAsia="zh-CN"/>
        </w:rPr>
        <w:t>272.02</w:t>
      </w:r>
      <w:r>
        <w:rPr>
          <w:rFonts w:hint="eastAsia" w:ascii="宋体" w:hAnsi="宋体" w:eastAsia="宋体" w:cs="宋体"/>
        </w:rPr>
        <w:t>万元。收入按资金来源分</w:t>
      </w:r>
      <w:r>
        <w:rPr>
          <w:rFonts w:hint="eastAsia" w:ascii="宋体" w:hAnsi="宋体" w:eastAsia="宋体" w:cs="宋体"/>
          <w:lang w:eastAsia="zh-CN"/>
        </w:rPr>
        <w:t>全部为；按资金年度分</w:t>
      </w:r>
      <w:r>
        <w:rPr>
          <w:rFonts w:hint="eastAsia" w:ascii="宋体" w:hAnsi="宋体" w:eastAsia="宋体" w:cs="宋体"/>
        </w:rPr>
        <w:t>一般公共预算拨款；按资金年度分</w:t>
      </w:r>
      <w:r>
        <w:rPr>
          <w:rFonts w:hint="eastAsia" w:ascii="宋体" w:hAnsi="宋体" w:eastAsia="宋体" w:cs="宋体"/>
          <w:lang w:eastAsia="zh-CN"/>
        </w:rPr>
        <w:t>全部</w:t>
      </w:r>
      <w:r>
        <w:rPr>
          <w:rFonts w:hint="eastAsia" w:ascii="宋体" w:hAnsi="宋体" w:eastAsia="宋体" w:cs="宋体"/>
        </w:rPr>
        <w:t>为</w:t>
      </w:r>
      <w:r>
        <w:rPr>
          <w:rFonts w:hint="eastAsia" w:ascii="宋体" w:hAnsi="宋体" w:eastAsia="宋体" w:cs="宋体"/>
          <w:lang w:eastAsia="zh-CN"/>
        </w:rPr>
        <w:t>当年财政拨款收入</w:t>
      </w:r>
      <w:r>
        <w:rPr>
          <w:rFonts w:hint="eastAsia" w:ascii="宋体" w:hAnsi="宋体" w:eastAsia="宋体" w:cs="宋体"/>
        </w:rPr>
        <w:t>。支出按功能分类分为：</w:t>
      </w:r>
      <w:r>
        <w:rPr>
          <w:rFonts w:hint="eastAsia" w:ascii="宋体" w:hAnsi="宋体" w:eastAsia="宋体" w:cs="宋体"/>
          <w:lang w:eastAsia="zh-CN"/>
        </w:rPr>
        <w:t>文化体育与传媒支出</w:t>
      </w:r>
      <w:r>
        <w:rPr>
          <w:rFonts w:hint="eastAsia" w:ascii="宋体" w:hAnsi="宋体" w:eastAsia="宋体" w:cs="宋体"/>
          <w:lang w:val="en-US" w:eastAsia="zh-CN"/>
        </w:rPr>
        <w:t>218.21万元，占80.2%；</w:t>
      </w:r>
      <w:r>
        <w:rPr>
          <w:rFonts w:hint="eastAsia" w:ascii="宋体" w:hAnsi="宋体" w:eastAsia="宋体" w:cs="宋体"/>
        </w:rPr>
        <w:t>社会保障和就业支出</w:t>
      </w:r>
      <w:r>
        <w:rPr>
          <w:rFonts w:hint="eastAsia" w:ascii="宋体" w:hAnsi="宋体" w:eastAsia="宋体" w:cs="宋体"/>
          <w:lang w:val="en-US" w:eastAsia="zh-CN"/>
        </w:rPr>
        <w:t>20.28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7.3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  <w:lang w:val="en-US"/>
        </w:rPr>
        <w:t>；</w:t>
      </w:r>
      <w:r>
        <w:rPr>
          <w:rFonts w:hint="eastAsia" w:ascii="宋体" w:hAnsi="宋体" w:eastAsia="宋体" w:cs="宋体"/>
        </w:rPr>
        <w:t>医疗卫生与计划生育支出</w:t>
      </w:r>
      <w:r>
        <w:rPr>
          <w:rFonts w:hint="eastAsia" w:ascii="宋体" w:hAnsi="宋体" w:eastAsia="宋体" w:cs="宋体"/>
          <w:lang w:val="en-US" w:eastAsia="zh-CN"/>
        </w:rPr>
        <w:t>8.4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3.1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；住房保障支出</w:t>
      </w:r>
      <w:r>
        <w:rPr>
          <w:rFonts w:hint="eastAsia" w:ascii="宋体" w:hAnsi="宋体" w:eastAsia="宋体" w:cs="宋体"/>
          <w:lang w:val="en-US" w:eastAsia="zh-CN"/>
        </w:rPr>
        <w:t>25.1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9.4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  <w:lang w:val="en-US"/>
        </w:rPr>
        <w:t>。</w:t>
      </w:r>
    </w:p>
    <w:p>
      <w:pPr>
        <w:pStyle w:val="18"/>
        <w:shd w:val="clear" w:color="auto" w:fill="auto"/>
        <w:tabs>
          <w:tab w:val="left" w:pos="1473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9"/>
          <w:rFonts w:hint="eastAsia" w:ascii="仿宋" w:hAnsi="仿宋" w:eastAsia="仿宋" w:cs="仿宋"/>
          <w:b w:val="0"/>
          <w:bCs w:val="0"/>
          <w:sz w:val="32"/>
          <w:szCs w:val="32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关于</w:t>
      </w:r>
      <w:r>
        <w:rPr>
          <w:rFonts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年一般公共预算拨款情况说明</w:t>
      </w:r>
    </w:p>
    <w:p>
      <w:pPr>
        <w:pStyle w:val="51"/>
        <w:shd w:val="clear" w:color="auto" w:fill="auto"/>
        <w:tabs>
          <w:tab w:val="left" w:pos="1573"/>
        </w:tabs>
        <w:spacing w:line="360" w:lineRule="auto"/>
        <w:ind w:firstLine="60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（一）一般公共预算拨款规模变化情况。</w:t>
      </w:r>
    </w:p>
    <w:p>
      <w:pPr>
        <w:pStyle w:val="20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hint="eastAsia" w:ascii="宋体" w:hAnsi="宋体" w:eastAsia="宋体" w:cs="宋体"/>
          <w:lang w:val="en-US" w:eastAsia="zh-CN"/>
        </w:rPr>
        <w:t>2021</w:t>
      </w:r>
      <w:r>
        <w:rPr>
          <w:rFonts w:hint="eastAsia" w:ascii="宋体" w:hAnsi="宋体" w:eastAsia="宋体" w:cs="宋体"/>
        </w:rPr>
        <w:t>年一般公共预算拨款</w:t>
      </w:r>
      <w:r>
        <w:rPr>
          <w:rFonts w:hint="eastAsia" w:ascii="宋体" w:hAnsi="宋体" w:eastAsia="宋体" w:cs="宋体"/>
          <w:lang w:val="en-US" w:eastAsia="zh-CN"/>
        </w:rPr>
        <w:t>272.02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年预算拨款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81.32</w:t>
      </w:r>
      <w:r>
        <w:rPr>
          <w:rFonts w:hint="eastAsia" w:ascii="宋体" w:hAnsi="宋体" w:eastAsia="宋体" w:cs="宋体"/>
        </w:rPr>
        <w:t>万元，原因主要是</w:t>
      </w:r>
      <w:r>
        <w:rPr>
          <w:rFonts w:hint="eastAsia" w:ascii="宋体" w:hAnsi="宋体" w:eastAsia="宋体" w:cs="宋体"/>
          <w:lang w:val="en-US"/>
        </w:rPr>
        <w:t>人员变动</w:t>
      </w:r>
      <w:r>
        <w:rPr>
          <w:rFonts w:hint="eastAsia" w:ascii="宋体" w:hAnsi="宋体" w:eastAsia="宋体" w:cs="宋体"/>
          <w:lang w:val="en-US" w:eastAsia="zh-CN"/>
        </w:rPr>
        <w:t>及项目支出增加</w:t>
      </w:r>
      <w:r>
        <w:rPr>
          <w:rFonts w:hint="eastAsia" w:ascii="宋体" w:hAnsi="宋体" w:eastAsia="宋体" w:cs="宋体"/>
          <w:lang w:val="en-US"/>
        </w:rPr>
        <w:t>。</w:t>
      </w:r>
    </w:p>
    <w:p>
      <w:pPr>
        <w:pStyle w:val="51"/>
        <w:shd w:val="clear" w:color="auto" w:fill="auto"/>
        <w:tabs>
          <w:tab w:val="left" w:pos="1578"/>
        </w:tabs>
        <w:spacing w:line="360" w:lineRule="auto"/>
        <w:ind w:firstLine="60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（二）一般公共预算拨款结构情况。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eastAsia="zh-CN"/>
        </w:rPr>
        <w:t>文化体育与传媒支出</w:t>
      </w:r>
      <w:r>
        <w:rPr>
          <w:rFonts w:hint="eastAsia" w:ascii="宋体" w:hAnsi="宋体" w:eastAsia="宋体" w:cs="宋体"/>
          <w:lang w:val="en-US" w:eastAsia="zh-CN"/>
        </w:rPr>
        <w:t>218.21万元，占80.2%；</w:t>
      </w:r>
      <w:r>
        <w:rPr>
          <w:rFonts w:hint="eastAsia" w:ascii="宋体" w:hAnsi="宋体" w:eastAsia="宋体" w:cs="宋体"/>
        </w:rPr>
        <w:t>社会保障和就业支出</w:t>
      </w:r>
      <w:r>
        <w:rPr>
          <w:rFonts w:hint="eastAsia" w:ascii="宋体" w:hAnsi="宋体" w:eastAsia="宋体" w:cs="宋体"/>
          <w:lang w:val="en-US" w:eastAsia="zh-CN"/>
        </w:rPr>
        <w:t>20.28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7.3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  <w:lang w:val="en-US"/>
        </w:rPr>
        <w:t>；</w:t>
      </w:r>
      <w:r>
        <w:rPr>
          <w:rFonts w:hint="eastAsia" w:ascii="宋体" w:hAnsi="宋体" w:eastAsia="宋体" w:cs="宋体"/>
        </w:rPr>
        <w:t>医疗卫生与计划生育支出</w:t>
      </w:r>
      <w:r>
        <w:rPr>
          <w:rFonts w:hint="eastAsia" w:ascii="宋体" w:hAnsi="宋体" w:eastAsia="宋体" w:cs="宋体"/>
          <w:lang w:val="en-US" w:eastAsia="zh-CN"/>
        </w:rPr>
        <w:t>8.4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3.1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；住房保障支出</w:t>
      </w:r>
      <w:r>
        <w:rPr>
          <w:rFonts w:hint="eastAsia" w:ascii="宋体" w:hAnsi="宋体" w:eastAsia="宋体" w:cs="宋体"/>
          <w:lang w:val="en-US" w:eastAsia="zh-CN"/>
        </w:rPr>
        <w:t>25.1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9.4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  <w:lang w:val="en-US"/>
        </w:rPr>
        <w:t>。</w:t>
      </w:r>
    </w:p>
    <w:p>
      <w:pPr>
        <w:pStyle w:val="51"/>
        <w:numPr>
          <w:ilvl w:val="0"/>
          <w:numId w:val="4"/>
        </w:numPr>
        <w:shd w:val="clear" w:color="auto" w:fill="auto"/>
        <w:tabs>
          <w:tab w:val="left" w:pos="1578"/>
        </w:tabs>
        <w:spacing w:line="360" w:lineRule="auto"/>
        <w:ind w:firstLine="600" w:firstLineChars="20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一般公共预算拨款具体使用情况。</w:t>
      </w:r>
    </w:p>
    <w:p>
      <w:pPr>
        <w:pStyle w:val="51"/>
        <w:numPr>
          <w:ilvl w:val="0"/>
          <w:numId w:val="0"/>
        </w:numPr>
        <w:shd w:val="clear" w:color="auto" w:fill="auto"/>
        <w:tabs>
          <w:tab w:val="left" w:pos="1578"/>
        </w:tabs>
        <w:spacing w:line="360" w:lineRule="auto"/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1.文化体育与传媒支出（类）广播电视（款）行政运行（项）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2021年预算150.21万元，比2020年预算增加45.71万元，增加43.74%，增加原因主要是在职人员增加，对应各项费用增加。</w:t>
      </w:r>
    </w:p>
    <w:p>
      <w:pPr>
        <w:pStyle w:val="51"/>
        <w:numPr>
          <w:ilvl w:val="0"/>
          <w:numId w:val="0"/>
        </w:numPr>
        <w:shd w:val="clear" w:color="auto" w:fill="auto"/>
        <w:tabs>
          <w:tab w:val="left" w:pos="1578"/>
        </w:tabs>
        <w:spacing w:line="360" w:lineRule="auto"/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2.文化体育与传媒支出（类）广播电视（款）广播电视事务（项）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.2021年预算68万元，比2020年预算增加12万元，增加21.42%，增加原因主要是应急广播建设维护支出增加。</w:t>
      </w:r>
    </w:p>
    <w:p>
      <w:pPr>
        <w:pStyle w:val="20"/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  <w:lang w:val="en-US"/>
        </w:rPr>
        <w:t>3</w:t>
      </w:r>
      <w:r>
        <w:rPr>
          <w:rStyle w:val="22"/>
          <w:rFonts w:ascii="宋体" w:hAnsi="宋体" w:eastAsia="宋体" w:cs="宋体"/>
          <w:lang w:val="en-US"/>
        </w:rPr>
        <w:t xml:space="preserve">. </w:t>
      </w:r>
      <w:r>
        <w:rPr>
          <w:rStyle w:val="22"/>
          <w:rFonts w:hint="eastAsia" w:ascii="宋体" w:hAnsi="宋体" w:eastAsia="宋体" w:cs="宋体"/>
        </w:rPr>
        <w:t>社会保障和就业支出（类）行政事业单位养老支出（款）机关事业单位基本养老保险缴费支出（项）</w:t>
      </w:r>
      <w:r>
        <w:rPr>
          <w:rStyle w:val="22"/>
          <w:rFonts w:ascii="宋体" w:hAnsi="宋体" w:eastAsia="宋体" w:cs="宋体"/>
        </w:rPr>
        <w:t xml:space="preserve"> 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val="en-US" w:eastAsia="zh-CN"/>
        </w:rPr>
        <w:t>19.47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5.57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40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原因主要是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在职人员增加，对应各项费用增加</w:t>
      </w:r>
      <w:r>
        <w:rPr>
          <w:rFonts w:hint="eastAsia" w:ascii="宋体" w:hAnsi="宋体" w:eastAsia="宋体" w:cs="宋体"/>
        </w:rPr>
        <w:t>。</w:t>
      </w:r>
      <w:r>
        <w:rPr>
          <w:rFonts w:ascii="宋体" w:hAnsi="宋体" w:eastAsia="宋体" w:cs="宋体"/>
        </w:rPr>
        <w:t xml:space="preserve"> </w:t>
      </w:r>
    </w:p>
    <w:p>
      <w:pPr>
        <w:pStyle w:val="20"/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  <w:lang w:val="en-US"/>
        </w:rPr>
        <w:t>3</w:t>
      </w:r>
      <w:r>
        <w:rPr>
          <w:rStyle w:val="22"/>
          <w:rFonts w:ascii="宋体" w:hAnsi="宋体" w:eastAsia="宋体" w:cs="宋体"/>
          <w:lang w:val="en-US"/>
        </w:rPr>
        <w:t xml:space="preserve">. </w:t>
      </w:r>
      <w:r>
        <w:rPr>
          <w:rStyle w:val="22"/>
          <w:rFonts w:hint="eastAsia" w:ascii="宋体" w:hAnsi="宋体" w:eastAsia="宋体" w:cs="宋体"/>
        </w:rPr>
        <w:t>社会保障和就业支出（类）其他社会保障和就业支出（款）其他社会保障和就业支出（项）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val="en-US" w:eastAsia="zh-CN"/>
        </w:rPr>
        <w:t>0.81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0.71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710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原因主要是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在职人员增加，对应各项费用增加</w:t>
      </w:r>
      <w:r>
        <w:rPr>
          <w:rFonts w:hint="eastAsia" w:ascii="宋体" w:hAnsi="宋体" w:eastAsia="宋体" w:cs="宋体"/>
        </w:rPr>
        <w:t>。</w:t>
      </w:r>
      <w:r>
        <w:rPr>
          <w:rFonts w:ascii="宋体" w:hAnsi="宋体" w:eastAsia="宋体" w:cs="宋体"/>
        </w:rPr>
        <w:t xml:space="preserve"> </w:t>
      </w:r>
    </w:p>
    <w:p>
      <w:pPr>
        <w:pStyle w:val="20"/>
        <w:shd w:val="clear" w:color="auto" w:fill="auto"/>
        <w:spacing w:line="360" w:lineRule="auto"/>
        <w:ind w:firstLine="722" w:firstLineChars="200"/>
        <w:jc w:val="both"/>
        <w:rPr>
          <w:rFonts w:hint="default" w:ascii="宋体" w:hAnsi="宋体" w:eastAsia="宋体" w:cs="宋体"/>
          <w:lang w:val="en-US" w:eastAsia="zh-CN"/>
        </w:rPr>
      </w:pPr>
      <w:r>
        <w:rPr>
          <w:rStyle w:val="22"/>
          <w:rFonts w:ascii="宋体" w:hAnsi="宋体" w:eastAsia="宋体" w:cs="宋体"/>
        </w:rPr>
        <w:t xml:space="preserve"> </w:t>
      </w:r>
    </w:p>
    <w:p>
      <w:pPr>
        <w:pStyle w:val="20"/>
        <w:numPr>
          <w:ilvl w:val="0"/>
          <w:numId w:val="0"/>
        </w:numPr>
        <w:shd w:val="clear" w:color="auto" w:fill="auto"/>
        <w:tabs>
          <w:tab w:val="left" w:pos="1107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  <w:lang w:val="en-US"/>
        </w:rPr>
        <w:t>4.</w:t>
      </w:r>
      <w:r>
        <w:rPr>
          <w:rStyle w:val="22"/>
          <w:rFonts w:hint="eastAsia" w:ascii="宋体" w:hAnsi="宋体" w:eastAsia="宋体" w:cs="宋体"/>
        </w:rPr>
        <w:t>卫生健康支出（类）行政事业单位医疗</w:t>
      </w:r>
      <w:r>
        <w:rPr>
          <w:rStyle w:val="22"/>
          <w:rFonts w:hint="eastAsia" w:ascii="宋体" w:hAnsi="宋体" w:eastAsia="宋体" w:cs="宋体"/>
          <w:lang w:val="en-US"/>
        </w:rPr>
        <w:t>（款）事业单位医疗（项）</w:t>
      </w:r>
      <w:r>
        <w:rPr>
          <w:rFonts w:ascii="宋体" w:hAnsi="宋体" w:eastAsia="宋体" w:cs="宋体"/>
        </w:rPr>
        <w:t xml:space="preserve"> 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val="en-US" w:eastAsia="zh-CN"/>
        </w:rPr>
        <w:t>8.4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2.5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42.3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原因主要是</w:t>
      </w:r>
      <w:r>
        <w:rPr>
          <w:rFonts w:hint="eastAsia" w:ascii="宋体" w:hAnsi="宋体" w:eastAsia="宋体" w:cs="宋体"/>
          <w:lang w:eastAsia="zh-CN"/>
        </w:rPr>
        <w:t>医疗保险等支出随</w:t>
      </w:r>
      <w:r>
        <w:rPr>
          <w:rFonts w:hint="eastAsia" w:ascii="宋体" w:hAnsi="宋体" w:eastAsia="宋体" w:cs="宋体"/>
          <w:lang w:val="en-US"/>
        </w:rPr>
        <w:t>人员变动</w:t>
      </w:r>
      <w:r>
        <w:rPr>
          <w:rFonts w:hint="eastAsia" w:ascii="宋体" w:hAnsi="宋体" w:eastAsia="宋体" w:cs="宋体"/>
          <w:lang w:val="en-US" w:eastAsia="zh-CN"/>
        </w:rPr>
        <w:t>而变动</w:t>
      </w:r>
      <w:r>
        <w:rPr>
          <w:rFonts w:hint="eastAsia" w:ascii="宋体" w:hAnsi="宋体" w:eastAsia="宋体" w:cs="宋体"/>
        </w:rPr>
        <w:t>。</w:t>
      </w:r>
    </w:p>
    <w:p>
      <w:pPr>
        <w:pStyle w:val="20"/>
        <w:numPr>
          <w:ilvl w:val="0"/>
          <w:numId w:val="0"/>
        </w:numPr>
        <w:shd w:val="clear" w:color="auto" w:fill="auto"/>
        <w:tabs>
          <w:tab w:val="left" w:pos="1107"/>
        </w:tabs>
        <w:spacing w:line="360" w:lineRule="auto"/>
        <w:ind w:firstLine="722" w:firstLineChars="200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  <w:lang w:val="en-US"/>
        </w:rPr>
        <w:t>5.</w:t>
      </w:r>
      <w:r>
        <w:rPr>
          <w:rStyle w:val="22"/>
          <w:rFonts w:hint="eastAsia" w:ascii="宋体" w:hAnsi="宋体" w:eastAsia="宋体" w:cs="宋体"/>
        </w:rPr>
        <w:t>住房保障支出</w:t>
      </w:r>
      <w:r>
        <w:rPr>
          <w:rStyle w:val="22"/>
          <w:rFonts w:ascii="宋体" w:hAnsi="宋体" w:eastAsia="宋体" w:cs="宋体"/>
        </w:rPr>
        <w:t xml:space="preserve"> </w:t>
      </w:r>
      <w:r>
        <w:rPr>
          <w:rStyle w:val="22"/>
          <w:rFonts w:hint="eastAsia" w:ascii="宋体" w:hAnsi="宋体" w:eastAsia="宋体" w:cs="宋体"/>
        </w:rPr>
        <w:t>（类）住房改革支出（款）住房公积金（项）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年预</w:t>
      </w:r>
      <w:r>
        <w:rPr>
          <w:rFonts w:hint="eastAsia" w:ascii="宋体" w:hAnsi="宋体" w:eastAsia="宋体" w:cs="宋体"/>
          <w:lang w:val="en-US"/>
        </w:rPr>
        <w:t>算</w:t>
      </w:r>
      <w:r>
        <w:rPr>
          <w:rFonts w:hint="eastAsia" w:ascii="宋体" w:hAnsi="宋体" w:eastAsia="宋体" w:cs="宋体"/>
          <w:lang w:val="en-US" w:eastAsia="zh-CN"/>
        </w:rPr>
        <w:t>25.1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14.8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143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</w:t>
      </w:r>
      <w:r>
        <w:rPr>
          <w:rFonts w:hint="eastAsia" w:ascii="宋体" w:hAnsi="宋体" w:eastAsia="宋体" w:cs="宋体"/>
          <w:lang w:val="en-US"/>
        </w:rPr>
        <w:t>是</w:t>
      </w:r>
      <w:r>
        <w:rPr>
          <w:rFonts w:hint="eastAsia" w:ascii="宋体" w:hAnsi="宋体" w:eastAsia="宋体" w:cs="宋体"/>
          <w:lang w:val="en-US" w:eastAsia="zh-CN"/>
        </w:rPr>
        <w:t>人员增加及缴费金额随工资基数增长而增长</w:t>
      </w:r>
      <w:r>
        <w:rPr>
          <w:rFonts w:hint="eastAsia" w:ascii="宋体" w:hAnsi="宋体" w:eastAsia="宋体" w:cs="宋体"/>
        </w:rPr>
        <w:t>。</w:t>
      </w:r>
    </w:p>
    <w:p>
      <w:pPr>
        <w:pStyle w:val="18"/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三、关于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年一般公共预算基本支出情况说明</w:t>
      </w:r>
    </w:p>
    <w:p>
      <w:pPr>
        <w:pStyle w:val="20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年一般公共预算基本支出</w:t>
      </w:r>
      <w:r>
        <w:rPr>
          <w:rFonts w:hint="eastAsia" w:ascii="宋体" w:hAnsi="宋体" w:eastAsia="宋体" w:cs="宋体"/>
          <w:lang w:val="en-US" w:eastAsia="zh-CN"/>
        </w:rPr>
        <w:t>204.02</w:t>
      </w:r>
      <w:r>
        <w:rPr>
          <w:rFonts w:hint="eastAsia" w:ascii="宋体" w:hAnsi="宋体" w:eastAsia="宋体" w:cs="宋体"/>
        </w:rPr>
        <w:t>万元，其中：</w:t>
      </w:r>
    </w:p>
    <w:p>
      <w:pPr>
        <w:pStyle w:val="20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工资福利支出</w:t>
      </w:r>
      <w:r>
        <w:rPr>
          <w:rFonts w:hint="eastAsia" w:ascii="宋体" w:hAnsi="宋体" w:eastAsia="宋体" w:cs="宋体"/>
          <w:lang w:val="en-US" w:eastAsia="zh-CN"/>
        </w:rPr>
        <w:t>148.02</w:t>
      </w:r>
      <w:r>
        <w:rPr>
          <w:rFonts w:hint="eastAsia" w:ascii="宋体" w:hAnsi="宋体" w:eastAsia="宋体" w:cs="宋体"/>
        </w:rPr>
        <w:t>万元，主要包括：基本工资、津贴补贴、奖金、机关事业单位基本养老保险缴费、城镇职工基本医疗保险缴费、其他社会保障缴费、住房公积金、医疗费</w:t>
      </w:r>
      <w:r>
        <w:rPr>
          <w:rFonts w:hint="eastAsia" w:ascii="宋体" w:hAnsi="宋体" w:eastAsia="宋体" w:cs="宋体"/>
          <w:lang w:eastAsia="zh-CN"/>
        </w:rPr>
        <w:t>等</w:t>
      </w:r>
      <w:r>
        <w:rPr>
          <w:rFonts w:hint="eastAsia" w:ascii="宋体" w:hAnsi="宋体" w:eastAsia="宋体" w:cs="宋体"/>
        </w:rPr>
        <w:t>。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商品和服务支出</w:t>
      </w:r>
      <w:r>
        <w:rPr>
          <w:rFonts w:hint="eastAsia" w:ascii="宋体" w:hAnsi="宋体" w:eastAsia="宋体" w:cs="宋体"/>
          <w:lang w:val="en-US" w:eastAsia="zh-CN"/>
        </w:rPr>
        <w:t>56</w:t>
      </w:r>
      <w:r>
        <w:rPr>
          <w:rFonts w:hint="eastAsia" w:ascii="宋体" w:hAnsi="宋体" w:eastAsia="宋体" w:cs="宋体"/>
        </w:rPr>
        <w:t>万元，主要包括：办公费、</w:t>
      </w:r>
      <w:r>
        <w:rPr>
          <w:rFonts w:hint="eastAsia" w:ascii="宋体" w:hAnsi="宋体" w:eastAsia="宋体" w:cs="宋体"/>
          <w:lang w:eastAsia="zh-CN"/>
        </w:rPr>
        <w:t>差旅费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eastAsia="zh-CN"/>
        </w:rPr>
        <w:t>维修（护）费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eastAsia="zh-CN"/>
        </w:rPr>
        <w:t>公务接待费</w:t>
      </w:r>
      <w:r>
        <w:rPr>
          <w:rFonts w:hint="eastAsia" w:ascii="宋体" w:hAnsi="宋体" w:eastAsia="宋体" w:cs="宋体"/>
        </w:rPr>
        <w:t>、工会经费</w:t>
      </w:r>
      <w:r>
        <w:rPr>
          <w:rFonts w:hint="eastAsia" w:ascii="宋体" w:hAnsi="宋体" w:eastAsia="宋体" w:cs="宋体"/>
          <w:lang w:eastAsia="zh-CN"/>
        </w:rPr>
        <w:t>等</w:t>
      </w:r>
      <w:r>
        <w:rPr>
          <w:rFonts w:hint="eastAsia" w:ascii="宋体" w:hAnsi="宋体" w:eastAsia="宋体" w:cs="宋体"/>
        </w:rPr>
        <w:t>。</w:t>
      </w:r>
    </w:p>
    <w:p>
      <w:pPr>
        <w:pStyle w:val="18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四、关于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年政府性基金预算拨款情况说明</w:t>
      </w:r>
    </w:p>
    <w:p>
      <w:pPr>
        <w:pStyle w:val="20"/>
        <w:shd w:val="clear" w:color="auto" w:fill="auto"/>
        <w:spacing w:line="360" w:lineRule="auto"/>
        <w:ind w:firstLine="7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eastAsia="zh-CN"/>
        </w:rPr>
        <w:t>没有</w:t>
      </w:r>
      <w:r>
        <w:rPr>
          <w:rFonts w:hint="eastAsia" w:ascii="宋体" w:hAnsi="宋体" w:eastAsia="宋体" w:cs="宋体"/>
        </w:rPr>
        <w:t>政府性基金预算</w:t>
      </w:r>
      <w:r>
        <w:rPr>
          <w:rFonts w:hint="eastAsia" w:ascii="宋体" w:hAnsi="宋体" w:eastAsia="宋体" w:cs="宋体"/>
          <w:lang w:eastAsia="zh-CN"/>
        </w:rPr>
        <w:t>拨款收入，也没有使用政府性基金预算拨款安排的支出</w:t>
      </w:r>
      <w:r>
        <w:rPr>
          <w:rFonts w:hint="eastAsia" w:ascii="宋体" w:hAnsi="宋体" w:eastAsia="宋体" w:cs="宋体"/>
        </w:rPr>
        <w:t>。</w:t>
      </w:r>
    </w:p>
    <w:p>
      <w:pPr>
        <w:pStyle w:val="18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五</w:t>
      </w:r>
      <w:r>
        <w:rPr>
          <w:rFonts w:hint="eastAsia" w:ascii="宋体" w:hAnsi="宋体" w:eastAsia="宋体" w:cs="宋体"/>
        </w:rPr>
        <w:t>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年收支预算总体情况说明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按照综合预算管理原则，石台广播电视台所有收入和支出均纳入部门预算管理。石台广播电视台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年收支总预算</w:t>
      </w:r>
      <w:r>
        <w:rPr>
          <w:rFonts w:hint="eastAsia" w:ascii="宋体" w:hAnsi="宋体" w:eastAsia="宋体" w:cs="宋体"/>
          <w:lang w:val="en-US" w:eastAsia="zh-CN"/>
        </w:rPr>
        <w:t>272.02</w:t>
      </w:r>
      <w:r>
        <w:rPr>
          <w:rFonts w:hint="eastAsia" w:ascii="宋体" w:hAnsi="宋体" w:eastAsia="宋体" w:cs="宋体"/>
        </w:rPr>
        <w:t>万元，收入为一般公共预算拨款收入，支出包括：文化旅游体育与传媒支出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</w:rPr>
        <w:t>社会保障</w:t>
      </w:r>
      <w:r>
        <w:rPr>
          <w:rFonts w:hint="eastAsia" w:ascii="宋体" w:hAnsi="宋体" w:eastAsia="宋体" w:cs="宋体"/>
          <w:lang w:eastAsia="zh-CN"/>
        </w:rPr>
        <w:t>和就业</w:t>
      </w:r>
      <w:r>
        <w:rPr>
          <w:rFonts w:hint="eastAsia" w:ascii="宋体" w:hAnsi="宋体" w:eastAsia="宋体" w:cs="宋体"/>
        </w:rPr>
        <w:t>支出</w:t>
      </w:r>
      <w:r>
        <w:rPr>
          <w:rFonts w:hint="eastAsia" w:ascii="宋体" w:hAnsi="宋体" w:eastAsia="宋体" w:cs="宋体"/>
          <w:lang w:val="en-US"/>
        </w:rPr>
        <w:t>、</w:t>
      </w:r>
      <w:r>
        <w:rPr>
          <w:rFonts w:hint="eastAsia" w:ascii="宋体" w:hAnsi="宋体" w:eastAsia="宋体" w:cs="宋体"/>
          <w:lang w:eastAsia="zh-CN"/>
        </w:rPr>
        <w:t>卫生健康支出</w:t>
      </w:r>
      <w:r>
        <w:rPr>
          <w:rFonts w:hint="eastAsia" w:ascii="宋体" w:hAnsi="宋体" w:eastAsia="宋体" w:cs="宋体"/>
        </w:rPr>
        <w:t>、住房保障支出等。</w:t>
      </w:r>
    </w:p>
    <w:p>
      <w:pPr>
        <w:pStyle w:val="18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六</w:t>
      </w:r>
      <w:r>
        <w:rPr>
          <w:rFonts w:hint="eastAsia" w:ascii="宋体" w:hAnsi="宋体" w:eastAsia="宋体" w:cs="宋体"/>
        </w:rPr>
        <w:t>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年收入预算情况说明</w:t>
      </w:r>
    </w:p>
    <w:p>
      <w:pPr>
        <w:pStyle w:val="20"/>
        <w:shd w:val="clear" w:color="auto" w:fill="auto"/>
        <w:spacing w:line="360" w:lineRule="auto"/>
        <w:ind w:firstLine="720" w:firstLineChars="2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年收入预算</w:t>
      </w:r>
      <w:r>
        <w:rPr>
          <w:rFonts w:hint="eastAsia" w:ascii="宋体" w:hAnsi="宋体" w:eastAsia="宋体" w:cs="宋体"/>
          <w:lang w:val="en-US" w:eastAsia="zh-CN"/>
        </w:rPr>
        <w:t>272.02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收入全部</w:t>
      </w:r>
      <w:r>
        <w:rPr>
          <w:rFonts w:hint="eastAsia" w:ascii="宋体" w:hAnsi="宋体" w:eastAsia="宋体" w:cs="宋体"/>
        </w:rPr>
        <w:t>一般公共预算拨款收入</w:t>
      </w:r>
      <w:r>
        <w:rPr>
          <w:rFonts w:hint="eastAsia" w:ascii="宋体" w:hAnsi="宋体" w:eastAsia="宋体" w:cs="宋体"/>
          <w:lang w:val="en-US" w:eastAsia="zh-CN"/>
        </w:rPr>
        <w:t>272.02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81.32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42</w:t>
      </w:r>
      <w:r>
        <w:rPr>
          <w:rFonts w:ascii="宋体" w:hAnsi="宋体" w:eastAsia="宋体" w:cs="宋体"/>
        </w:rPr>
        <w:t>%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</w:rPr>
        <w:t>原因主要是</w:t>
      </w:r>
      <w:r>
        <w:rPr>
          <w:rFonts w:hint="eastAsia" w:ascii="宋体" w:hAnsi="宋体" w:eastAsia="宋体" w:cs="宋体"/>
          <w:lang w:val="en-US"/>
        </w:rPr>
        <w:t>人员</w:t>
      </w:r>
      <w:r>
        <w:rPr>
          <w:rFonts w:hint="eastAsia" w:ascii="宋体" w:hAnsi="宋体" w:eastAsia="宋体" w:cs="宋体"/>
          <w:lang w:val="en-US" w:eastAsia="zh-CN"/>
        </w:rPr>
        <w:t>增加及对应费用增加及项目支出的增加</w:t>
      </w:r>
      <w:r>
        <w:rPr>
          <w:rFonts w:hint="eastAsia" w:ascii="宋体" w:hAnsi="宋体" w:eastAsia="宋体" w:cs="宋体"/>
        </w:rPr>
        <w:t>。</w:t>
      </w:r>
    </w:p>
    <w:p>
      <w:pPr>
        <w:pStyle w:val="18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七</w:t>
      </w:r>
      <w:r>
        <w:rPr>
          <w:rFonts w:hint="eastAsia" w:ascii="宋体" w:hAnsi="宋体" w:eastAsia="宋体" w:cs="宋体"/>
        </w:rPr>
        <w:t>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年支出预算情况说明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年支出预算</w:t>
      </w:r>
      <w:r>
        <w:rPr>
          <w:rFonts w:hint="eastAsia" w:ascii="宋体" w:hAnsi="宋体" w:eastAsia="宋体" w:cs="宋体"/>
          <w:lang w:val="en-US" w:eastAsia="zh-CN"/>
        </w:rPr>
        <w:t>272.02</w:t>
      </w:r>
      <w:r>
        <w:rPr>
          <w:rFonts w:hint="eastAsia" w:ascii="宋体" w:hAnsi="宋体" w:eastAsia="宋体" w:cs="宋体"/>
        </w:rPr>
        <w:t>万元，比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20</w:t>
      </w:r>
      <w:r>
        <w:rPr>
          <w:rFonts w:hint="eastAsia" w:ascii="宋体" w:hAnsi="宋体" w:eastAsia="宋体" w:cs="宋体"/>
        </w:rPr>
        <w:t>年预算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81.32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增加</w:t>
      </w:r>
      <w:r>
        <w:rPr>
          <w:rFonts w:hint="eastAsia" w:ascii="宋体" w:hAnsi="宋体" w:eastAsia="宋体" w:cs="宋体"/>
          <w:lang w:val="en-US" w:eastAsia="zh-CN"/>
        </w:rPr>
        <w:t>42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增长原因主要是</w:t>
      </w:r>
      <w:r>
        <w:rPr>
          <w:rFonts w:hint="eastAsia" w:ascii="宋体" w:hAnsi="宋体" w:eastAsia="宋体" w:cs="宋体"/>
          <w:lang w:val="en-US"/>
        </w:rPr>
        <w:t>人员</w:t>
      </w:r>
      <w:r>
        <w:rPr>
          <w:rFonts w:hint="eastAsia" w:ascii="宋体" w:hAnsi="宋体" w:eastAsia="宋体" w:cs="宋体"/>
          <w:lang w:val="en-US" w:eastAsia="zh-CN"/>
        </w:rPr>
        <w:t>增加及项目支出的增加</w:t>
      </w:r>
      <w:r>
        <w:rPr>
          <w:rFonts w:hint="eastAsia" w:ascii="宋体" w:hAnsi="宋体" w:eastAsia="宋体" w:cs="宋体"/>
        </w:rPr>
        <w:t>。其中，基本支出</w:t>
      </w:r>
      <w:r>
        <w:rPr>
          <w:rFonts w:hint="eastAsia" w:ascii="宋体" w:hAnsi="宋体" w:eastAsia="宋体" w:cs="宋体"/>
          <w:lang w:val="en-US" w:eastAsia="zh-CN"/>
        </w:rPr>
        <w:t>204.02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75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主要用于</w:t>
      </w:r>
      <w:r>
        <w:rPr>
          <w:rFonts w:hint="eastAsia" w:ascii="宋体" w:hAnsi="宋体" w:eastAsia="宋体" w:cs="宋体"/>
          <w:lang w:val="en-US"/>
        </w:rPr>
        <w:t>人员工资福利及日常办公费用</w:t>
      </w:r>
      <w:r>
        <w:rPr>
          <w:rFonts w:hint="eastAsia" w:ascii="宋体" w:hAnsi="宋体" w:eastAsia="宋体" w:cs="宋体"/>
          <w:lang w:val="en-US" w:eastAsia="zh-CN"/>
        </w:rPr>
        <w:t>等</w:t>
      </w:r>
      <w:r>
        <w:rPr>
          <w:rFonts w:hint="eastAsia" w:ascii="宋体" w:hAnsi="宋体" w:eastAsia="宋体" w:cs="宋体"/>
        </w:rPr>
        <w:t>；项目支出</w:t>
      </w:r>
      <w:r>
        <w:rPr>
          <w:rFonts w:hint="eastAsia" w:ascii="宋体" w:hAnsi="宋体" w:eastAsia="宋体" w:cs="宋体"/>
          <w:lang w:val="en-US" w:eastAsia="zh-CN"/>
        </w:rPr>
        <w:t>68</w:t>
      </w:r>
      <w:r>
        <w:rPr>
          <w:rFonts w:hint="eastAsia" w:ascii="宋体" w:hAnsi="宋体" w:eastAsia="宋体" w:cs="宋体"/>
        </w:rPr>
        <w:t>万元，占</w:t>
      </w:r>
      <w:r>
        <w:rPr>
          <w:rFonts w:hint="eastAsia" w:ascii="宋体" w:hAnsi="宋体" w:eastAsia="宋体" w:cs="宋体"/>
          <w:lang w:val="en-US" w:eastAsia="zh-CN"/>
        </w:rPr>
        <w:t>25</w:t>
      </w:r>
      <w:r>
        <w:rPr>
          <w:rFonts w:ascii="宋体" w:hAnsi="宋体" w:eastAsia="宋体" w:cs="宋体"/>
        </w:rPr>
        <w:t>%,</w:t>
      </w:r>
      <w:r>
        <w:rPr>
          <w:rFonts w:hint="eastAsia" w:ascii="宋体" w:hAnsi="宋体" w:eastAsia="宋体" w:cs="宋体"/>
        </w:rPr>
        <w:t>主要用于</w:t>
      </w:r>
      <w:r>
        <w:rPr>
          <w:rFonts w:hint="eastAsia" w:ascii="宋体" w:hAnsi="宋体" w:eastAsia="宋体" w:cs="宋体"/>
          <w:lang w:eastAsia="zh-CN"/>
        </w:rPr>
        <w:t>融媒体发展专项</w:t>
      </w:r>
      <w:r>
        <w:rPr>
          <w:rFonts w:hint="eastAsia" w:ascii="宋体" w:hAnsi="宋体" w:eastAsia="宋体" w:cs="宋体"/>
          <w:lang w:val="en-US" w:eastAsia="zh-CN"/>
        </w:rPr>
        <w:t>30万元，应急广播运行维护20万元，广播电视事务18万元，其中，</w:t>
      </w:r>
      <w:r>
        <w:rPr>
          <w:rFonts w:hint="eastAsia" w:ascii="宋体" w:hAnsi="宋体" w:eastAsia="宋体" w:cs="宋体"/>
          <w:lang w:val="en-US"/>
        </w:rPr>
        <w:t>“游在石台”专题制作</w:t>
      </w:r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  <w:lang w:val="en-US"/>
        </w:rPr>
        <w:t>万元，池州电视台石台电视台联办新闻</w:t>
      </w:r>
      <w:r>
        <w:rPr>
          <w:rFonts w:ascii="宋体" w:hAnsi="宋体" w:eastAsia="宋体" w:cs="宋体"/>
          <w:lang w:val="en-US"/>
        </w:rPr>
        <w:t>8</w:t>
      </w:r>
      <w:r>
        <w:rPr>
          <w:rFonts w:hint="eastAsia" w:ascii="宋体" w:hAnsi="宋体" w:eastAsia="宋体" w:cs="宋体"/>
          <w:lang w:val="en-US"/>
        </w:rPr>
        <w:t>万元，</w:t>
      </w:r>
      <w:r>
        <w:rPr>
          <w:rFonts w:hint="eastAsia" w:ascii="宋体" w:hAnsi="宋体" w:eastAsia="宋体" w:cs="宋体"/>
          <w:lang w:val="en-US" w:eastAsia="zh-CN"/>
        </w:rPr>
        <w:t>旅游交通广播运行费8万</w:t>
      </w:r>
      <w:r>
        <w:rPr>
          <w:rFonts w:hint="eastAsia" w:ascii="宋体" w:hAnsi="宋体" w:eastAsia="宋体" w:cs="宋体"/>
        </w:rPr>
        <w:t>。</w:t>
      </w:r>
    </w:p>
    <w:p>
      <w:pPr>
        <w:pStyle w:val="18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八</w:t>
      </w:r>
      <w:r>
        <w:rPr>
          <w:rFonts w:hint="eastAsia" w:ascii="宋体" w:hAnsi="宋体" w:eastAsia="宋体" w:cs="宋体"/>
        </w:rPr>
        <w:t>、关于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年国有资本经营预算拨款情况说明</w:t>
      </w:r>
    </w:p>
    <w:p>
      <w:pPr>
        <w:pStyle w:val="20"/>
        <w:shd w:val="clear" w:color="auto" w:fill="auto"/>
        <w:spacing w:line="360" w:lineRule="auto"/>
        <w:ind w:firstLine="72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年没有国有资本经营预算拨款收入，也没有使用国有资本经营预算拨款安排的支出。</w:t>
      </w:r>
    </w:p>
    <w:p>
      <w:pPr>
        <w:pStyle w:val="20"/>
        <w:numPr>
          <w:ilvl w:val="0"/>
          <w:numId w:val="5"/>
        </w:numPr>
        <w:shd w:val="clear" w:color="auto" w:fill="auto"/>
        <w:spacing w:line="360" w:lineRule="auto"/>
        <w:ind w:firstLine="722" w:firstLineChars="200"/>
        <w:jc w:val="both"/>
        <w:rPr>
          <w:rFonts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项目绩效目标设置情况说明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石台广播电视台2021年按照规定设置绩效目标的项目3个，涉及一般公共预算财政拨款68万元。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1、融媒体发展专项：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（1）项目概述：深入推进石台媒体融合，引导服务群众，加大新媒体内容建设。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（2）立项依据：中共石台县常委会议纪要（十一届）56号。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（3）实施主体：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2"/>
          <w:szCs w:val="32"/>
          <w:lang w:val="en-US" w:eastAsia="zh-CN" w:bidi="ar"/>
        </w:rPr>
        <w:t>石台县融媒体中心（石台县广播电视台）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（4）起止时间：2021年1月1日至2021年12月31日。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（5）项目内容：深入推进石台媒体融合，引导服务群众，加大新媒体内容建设。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（6）年度预算安排：2021年部门编制专项经费30万元。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（7）绩效目标：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产出指标：反映根据既定目标，相关预算资金预期提供的公共产品和服务情况。可进一步细分为：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①数量指标，制作一批次具有影响力的新媒体内容；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②质量指标，推出精品栏目；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③时效指标，完成年度既定任务；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效益指标：反映与既定绩效目标相关的、前述相关产出所带来的预期效果的实现程度。可进一步细分为：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①经济效益指标，促进媒体融合，加强新媒体内容生产；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②社会效益指标，促进媒体融合，加强新媒体内容生产；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满意度指标：提升公共文化服务满意度。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）绩效标准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产出指标：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①数量指标，指标值为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②质量指标，指标值为实施精品工程，绩效标准为大于等于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③时效指标，指标值为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④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服务对象满意度指标：指标值为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98%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 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2、应急广播运行维护项目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（1）项目内容：保障一个县级平台、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个乡镇平台、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78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个村级平台能正常使用。保障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1250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处应急广播喇叭能长期响。播放日常信息及时根据上级安排及时发布应急消息。中期目标：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 2021-2023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年，保障一个县级平台、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个乡镇平台、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78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个村级平台能正常使用。保障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1250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处应急广播喇叭能长期响。播放日常信息及时根据上级安排及时发布应急消息。年度目标：保障一个县级平台、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个乡镇平台、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78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个村级平台能正常使用。保障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1250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处应急广播喇叭能长期响。播放日常信息及时根据上级安排及时发布应急消息。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（2）立项依据：安徽省人民政府关于应急广播建设实施意见。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（3）实施主体：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2"/>
          <w:szCs w:val="32"/>
        </w:rPr>
        <w:t>石台县融媒体中心（石台县广播电视台）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（4）起止时间：2021年1月1日至2021年12月31日。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（5）项目内容：保障一个县级平台、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个乡镇平台、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  <w:lang w:val="en-US"/>
        </w:rPr>
        <w:t>78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个村级平台能正常使用。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（6）年度预算安排：2021年部门编制专项经费20万元。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sz w:val="30"/>
          <w:szCs w:val="30"/>
        </w:rPr>
        <w:t>（7）绩效目标：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产出指标：反映根据既定目标，相关预算资金预期提供的公共产品和服务情况。可进一步细分为：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①数量指标，一个县级平台、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个乡镇平台、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78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个村级平台，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1250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处应急广播终端；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②质量指标，，一个县级平台、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个乡镇平台、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78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个村级平台，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1250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处应急广播终端；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③时效指标，完成年度既定任务；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效益指标：反映与既定绩效目标相关的、前述相关产出所带来的预期效果的实现程度。可进一步细分为：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①经济效益指标，宣传扶贫信息，加强意识形态工作；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②社会效益指标，宣传扶贫信息，加强意识形态工作；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满意度指标：提升公共文化服务满意度。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（8）绩效标准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产出指标：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①数量指标，指标值为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1250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80%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②质量指标，指标值为平台长期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在线，终端不低于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80%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80%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③时效指标，指标值为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④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服务对象满意度指标：指标值为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98%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3、广播电视发展专项项目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1）项目内容：提升石台外宣档次、及石台知名度；实施主题报道、重点报道以及日常新闻采访报道，负责新闻节目的编辑制作工作，加强新闻策划，提高节目创新力度，积极开展对外宣传工作；制作36期游在石台专题。中期目标： 2021-2023 年，提升石台外宣档次、及石台知名度；实施主题报道、重点报道以及日常新闻采访报道，负责新闻节目的编辑制作工作，加强新闻策划，提高节目创新力度，积极开展对外宣传工作；制作36期游在石台专题。年度目标：提升石台外宣档次、及石台知名度；实施主题报道、重点报道以及日常新闻采访报道，负责新闻节目的编辑制作工作，加强新闻策划，提高节目创新力度，积极开展对外宣传工作；制作36期游在石台专题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3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（2）立项依据：县委专题会议纪要。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3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（3）实施主体：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2"/>
          <w:szCs w:val="32"/>
          <w:lang w:val="en-US" w:eastAsia="zh-CN" w:bidi="ar"/>
        </w:rPr>
        <w:t>石台县融媒体中心（石台县广播电视台）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3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（4）起止时间：2021年1月1日至2021年12月31日。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3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（5）项目内容：提升石台外宣档次、及石台知名度。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3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（6）年度预算安排：2021年部门编制专项经费18万元。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3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30"/>
          <w:kern w:val="0"/>
          <w:sz w:val="30"/>
          <w:szCs w:val="30"/>
          <w:lang w:val="en-US" w:eastAsia="zh-CN" w:bidi="ar"/>
        </w:rPr>
        <w:t>（7）绩效目标：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产出指标：反映根据既定目标，相关预算资金预期提供的公共产品和服务情况。可进一步细分为：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①数量指标，年发稿不低于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360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条次，年发稿不低于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1.7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万条次，制作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期游在石台专题。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②质量指标，推出一档精品栏目。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③时效指标，完成年度既定任务。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效益指标：反映与既定绩效目标相关的、前述相关产出所带来的预期效果的实现程度。可进一步细分为：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①经济效益指标，宣传扶贫信息，加强意识形态工作；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②社会效益指标，宣传扶贫信息，加强意识形态工作；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满意度指标：提升公共文化服务满意度。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（8）绩效标准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产出指标：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①数量指标，指标值为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360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1.7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万，绩效标准为大于等于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②质量指标，指标值为实施精品工程，绩效标准为大于等于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③时效指标，指标值为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42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④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服务对象满意度指标：指标值为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，绩效标准为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98%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pStyle w:val="18"/>
        <w:shd w:val="clear" w:color="auto" w:fill="auto"/>
        <w:tabs>
          <w:tab w:val="left" w:pos="1316"/>
        </w:tabs>
        <w:spacing w:line="360" w:lineRule="auto"/>
        <w:ind w:firstLine="722" w:firstLineChars="20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十、</w:t>
      </w:r>
      <w:r>
        <w:rPr>
          <w:rFonts w:ascii="宋体" w:hAnsi="宋体" w:eastAsia="宋体" w:cs="宋体"/>
        </w:rPr>
        <w:tab/>
      </w:r>
      <w:r>
        <w:rPr>
          <w:rFonts w:hint="eastAsia" w:ascii="宋体" w:hAnsi="宋体" w:eastAsia="宋体" w:cs="宋体"/>
        </w:rPr>
        <w:t>其他重要事项情况说明</w:t>
      </w:r>
    </w:p>
    <w:p>
      <w:pPr>
        <w:pStyle w:val="18"/>
        <w:shd w:val="clear" w:color="auto" w:fill="auto"/>
        <w:tabs>
          <w:tab w:val="left" w:pos="1673"/>
        </w:tabs>
        <w:spacing w:line="360" w:lineRule="auto"/>
        <w:ind w:firstLine="722" w:firstLineChars="200"/>
        <w:jc w:val="both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（</w:t>
      </w:r>
      <w:r>
        <w:rPr>
          <w:rFonts w:hint="eastAsia" w:ascii="宋体" w:hAnsi="宋体" w:eastAsia="宋体" w:cs="宋体"/>
          <w:lang w:eastAsia="zh-CN"/>
        </w:rPr>
        <w:t>一</w:t>
      </w:r>
      <w:r>
        <w:rPr>
          <w:rFonts w:hint="eastAsia" w:ascii="宋体" w:hAnsi="宋体" w:eastAsia="宋体" w:cs="宋体"/>
        </w:rPr>
        <w:t>）机关运行经费。</w:t>
      </w:r>
    </w:p>
    <w:p>
      <w:pPr>
        <w:pStyle w:val="20"/>
        <w:shd w:val="clear" w:color="auto" w:fill="auto"/>
        <w:spacing w:line="480" w:lineRule="exact"/>
        <w:ind w:firstLine="7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年机关运行经费财政拨款预算</w:t>
      </w:r>
      <w:r>
        <w:rPr>
          <w:rFonts w:hint="eastAsia" w:ascii="宋体" w:hAnsi="宋体" w:eastAsia="宋体" w:cs="宋体"/>
          <w:lang w:val="en-US" w:eastAsia="zh-CN"/>
        </w:rPr>
        <w:t>24</w:t>
      </w:r>
      <w:r>
        <w:rPr>
          <w:rFonts w:hint="eastAsia" w:ascii="宋体" w:hAnsi="宋体" w:eastAsia="宋体" w:cs="宋体"/>
        </w:rPr>
        <w:t>万元，</w:t>
      </w:r>
      <w:r>
        <w:rPr>
          <w:rFonts w:hint="eastAsia" w:ascii="宋体" w:hAnsi="宋体" w:eastAsia="宋体" w:cs="宋体"/>
          <w:lang w:eastAsia="zh-CN"/>
        </w:rPr>
        <w:t>比</w:t>
      </w:r>
      <w:r>
        <w:rPr>
          <w:rFonts w:hint="eastAsia" w:ascii="宋体" w:hAnsi="宋体" w:eastAsia="宋体" w:cs="宋体"/>
          <w:lang w:val="en-US" w:eastAsia="zh-CN"/>
        </w:rPr>
        <w:t>2020年增加7万，增加41%，增加原因主要是人员增加及相应的办公费等增加。</w:t>
      </w:r>
    </w:p>
    <w:p>
      <w:pPr>
        <w:pStyle w:val="18"/>
        <w:shd w:val="clear" w:color="auto" w:fill="auto"/>
        <w:tabs>
          <w:tab w:val="left" w:pos="1673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（</w:t>
      </w:r>
      <w:r>
        <w:rPr>
          <w:rFonts w:hint="eastAsia" w:ascii="宋体" w:hAnsi="宋体" w:eastAsia="宋体" w:cs="宋体"/>
          <w:lang w:eastAsia="zh-CN"/>
        </w:rPr>
        <w:t>二</w:t>
      </w:r>
      <w:r>
        <w:rPr>
          <w:rFonts w:hint="eastAsia" w:ascii="宋体" w:hAnsi="宋体" w:eastAsia="宋体" w:cs="宋体"/>
        </w:rPr>
        <w:t>）政府采购情况。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年无政府采购。</w:t>
      </w:r>
    </w:p>
    <w:p>
      <w:pPr>
        <w:pStyle w:val="18"/>
        <w:shd w:val="clear" w:color="auto" w:fill="auto"/>
        <w:tabs>
          <w:tab w:val="left" w:pos="1673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（三</w:t>
      </w:r>
      <w:r>
        <w:rPr>
          <w:rFonts w:hint="eastAsia" w:ascii="宋体" w:hAnsi="宋体" w:eastAsia="宋体" w:cs="宋体"/>
        </w:rPr>
        <w:t>）国有资产占用使用情况。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石台广播电视台无公务用车</w:t>
      </w:r>
      <w:r>
        <w:rPr>
          <w:rFonts w:hint="eastAsia" w:ascii="宋体" w:hAnsi="宋体" w:eastAsia="宋体" w:cs="宋体"/>
          <w:lang w:val="en-US"/>
        </w:rPr>
        <w:t>，无</w:t>
      </w:r>
      <w:r>
        <w:rPr>
          <w:rFonts w:hint="eastAsia" w:ascii="宋体" w:hAnsi="宋体" w:eastAsia="宋体" w:cs="宋体"/>
        </w:rPr>
        <w:t>价值</w:t>
      </w:r>
      <w:r>
        <w:rPr>
          <w:rFonts w:ascii="宋体" w:hAnsi="宋体" w:eastAsia="宋体" w:cs="宋体"/>
        </w:rPr>
        <w:t>100</w:t>
      </w:r>
      <w:r>
        <w:rPr>
          <w:rFonts w:hint="eastAsia" w:ascii="宋体" w:hAnsi="宋体" w:eastAsia="宋体" w:cs="宋体"/>
        </w:rPr>
        <w:t>万元以上的专用设备。</w:t>
      </w:r>
    </w:p>
    <w:p>
      <w:pPr>
        <w:pStyle w:val="20"/>
        <w:shd w:val="clear" w:color="auto" w:fill="auto"/>
        <w:spacing w:line="360" w:lineRule="auto"/>
        <w:ind w:firstLine="720" w:firstLineChars="200"/>
        <w:jc w:val="both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年部门预算没有安排公务用车购置费</w:t>
      </w:r>
      <w:r>
        <w:rPr>
          <w:rFonts w:hint="eastAsia" w:ascii="宋体" w:hAnsi="宋体" w:eastAsia="宋体" w:cs="宋体"/>
          <w:lang w:val="en-US"/>
        </w:rPr>
        <w:t>，未安排购置</w:t>
      </w:r>
      <w:r>
        <w:rPr>
          <w:rFonts w:hint="eastAsia" w:ascii="宋体" w:hAnsi="宋体" w:eastAsia="宋体" w:cs="宋体"/>
        </w:rPr>
        <w:t>单位价值</w:t>
      </w:r>
      <w:r>
        <w:rPr>
          <w:rFonts w:ascii="宋体" w:hAnsi="宋体" w:eastAsia="宋体" w:cs="宋体"/>
        </w:rPr>
        <w:t>100</w:t>
      </w:r>
      <w:r>
        <w:rPr>
          <w:rFonts w:hint="eastAsia" w:ascii="宋体" w:hAnsi="宋体" w:eastAsia="宋体" w:cs="宋体"/>
        </w:rPr>
        <w:t>万元以上专用设备。</w:t>
      </w:r>
    </w:p>
    <w:p>
      <w:pPr>
        <w:pStyle w:val="24"/>
        <w:shd w:val="clear" w:color="auto" w:fill="auto"/>
        <w:spacing w:after="0" w:line="360" w:lineRule="auto"/>
        <w:ind w:firstLine="722" w:firstLineChars="200"/>
        <w:rPr>
          <w:rFonts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第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部分</w:t>
      </w:r>
      <w:r>
        <w:rPr>
          <w:rFonts w:ascii="宋体" w:hAnsi="宋体" w:eastAsia="宋体" w:cs="宋体"/>
          <w:b/>
          <w:bCs/>
          <w:sz w:val="30"/>
          <w:szCs w:val="30"/>
          <w:lang w:val="en-US"/>
        </w:rPr>
        <w:t xml:space="preserve"> 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名词解释</w:t>
      </w:r>
    </w:p>
    <w:p>
      <w:pPr>
        <w:pStyle w:val="20"/>
        <w:shd w:val="clear" w:color="auto" w:fill="auto"/>
        <w:tabs>
          <w:tab w:val="left" w:pos="1279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</w:rPr>
        <w:t>一、财政拨款收入：</w:t>
      </w:r>
      <w:r>
        <w:rPr>
          <w:rFonts w:hint="eastAsia" w:ascii="宋体" w:hAnsi="宋体" w:eastAsia="宋体" w:cs="宋体"/>
        </w:rPr>
        <w:t>指</w:t>
      </w:r>
      <w:r>
        <w:rPr>
          <w:rFonts w:hint="eastAsia" w:ascii="宋体" w:hAnsi="宋体" w:eastAsia="宋体" w:cs="宋体"/>
          <w:lang w:eastAsia="zh-CN"/>
        </w:rPr>
        <w:t>县</w:t>
      </w:r>
      <w:r>
        <w:rPr>
          <w:rFonts w:hint="eastAsia" w:ascii="宋体" w:hAnsi="宋体" w:eastAsia="宋体" w:cs="宋体"/>
        </w:rPr>
        <w:t>财政当年拨付的资金，主要包括一般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公共预算拨款收入和政府性基金拨款收入。</w:t>
      </w:r>
    </w:p>
    <w:p>
      <w:pPr>
        <w:pStyle w:val="20"/>
        <w:shd w:val="clear" w:color="auto" w:fill="auto"/>
        <w:tabs>
          <w:tab w:val="left" w:pos="1279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</w:rPr>
        <w:t>二、基本支出：</w:t>
      </w:r>
      <w:r>
        <w:rPr>
          <w:rFonts w:hint="eastAsia" w:ascii="宋体" w:hAnsi="宋体" w:eastAsia="宋体" w:cs="宋体"/>
        </w:rPr>
        <w:t>指为保障机构正常运转、完成日常工作任务而发生的人员支出和公用支出。</w:t>
      </w:r>
    </w:p>
    <w:p>
      <w:pPr>
        <w:pStyle w:val="20"/>
        <w:shd w:val="clear" w:color="auto" w:fill="auto"/>
        <w:tabs>
          <w:tab w:val="left" w:pos="1279"/>
        </w:tabs>
        <w:spacing w:line="360" w:lineRule="auto"/>
        <w:ind w:firstLine="722" w:firstLineChars="200"/>
        <w:jc w:val="both"/>
        <w:rPr>
          <w:rFonts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</w:rPr>
        <w:t>三、项目支出：</w:t>
      </w:r>
      <w:r>
        <w:rPr>
          <w:rFonts w:hint="eastAsia" w:ascii="宋体" w:hAnsi="宋体" w:eastAsia="宋体" w:cs="宋体"/>
        </w:rPr>
        <w:t>指在基本支出之外为完成特定行政任务和事业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发展目标所发生的支出。</w:t>
      </w:r>
    </w:p>
    <w:p>
      <w:pPr>
        <w:pStyle w:val="20"/>
        <w:shd w:val="clear" w:color="auto" w:fill="auto"/>
        <w:tabs>
          <w:tab w:val="left" w:pos="1280"/>
        </w:tabs>
        <w:spacing w:line="360" w:lineRule="auto"/>
        <w:ind w:firstLine="722" w:firstLineChars="200"/>
        <w:jc w:val="both"/>
        <w:rPr>
          <w:rFonts w:hint="eastAsia" w:ascii="宋体" w:hAnsi="宋体" w:eastAsia="宋体" w:cs="宋体"/>
        </w:rPr>
      </w:pPr>
      <w:r>
        <w:rPr>
          <w:rStyle w:val="22"/>
          <w:rFonts w:hint="eastAsia" w:ascii="宋体" w:hAnsi="宋体" w:eastAsia="宋体" w:cs="宋体"/>
        </w:rPr>
        <w:t>四、机关运行经费：</w:t>
      </w:r>
      <w:r>
        <w:rPr>
          <w:rFonts w:hint="eastAsia" w:ascii="宋体" w:hAnsi="宋体" w:eastAsia="宋体" w:cs="宋体"/>
        </w:rPr>
        <w:t>指各部门的公用经费，包括办公及印刷费、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邮电费、差旅费、会议费、福利费、日常维修费、专用材料及一般设备购置费、办公用房水电费、办公用房取暖费、办公用房物业管理费、公务用车运行维护费以及其他费用。</w:t>
      </w:r>
    </w:p>
    <w:p>
      <w:pPr>
        <w:pStyle w:val="18"/>
        <w:shd w:val="clear" w:color="auto" w:fill="auto"/>
        <w:spacing w:line="538" w:lineRule="exact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第</w:t>
      </w: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部分</w:t>
      </w:r>
      <w:r>
        <w:rPr>
          <w:rFonts w:ascii="宋体" w:hAnsi="宋体" w:eastAsia="宋体" w:cs="宋体"/>
          <w:lang w:val="en-US"/>
        </w:rPr>
        <w:t xml:space="preserve"> </w:t>
      </w: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年部门预算表（附表）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38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年部门财政拨款收支预算总表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年部门一般公共预算支出预算表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年部门一般公共预算基本支出预算表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年部门政府性基金预算支出预算表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年部门收支预算总表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年部门收入预算总表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</w:rPr>
        <w:t>年部门支出预算总表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411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  <w:lang w:val="en-US"/>
        </w:rPr>
        <w:t>年部门</w:t>
      </w:r>
      <w:r>
        <w:rPr>
          <w:rFonts w:hint="eastAsia" w:ascii="宋体" w:hAnsi="宋体" w:eastAsia="宋体" w:cs="宋体"/>
        </w:rPr>
        <w:t>国有资本经营预算支出预算表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392"/>
        </w:tabs>
        <w:spacing w:line="538" w:lineRule="exact"/>
        <w:ind w:firstLine="0"/>
        <w:rPr>
          <w:rFonts w:ascii="宋体" w:hAnsi="宋体" w:eastAsia="宋体" w:cs="宋体"/>
        </w:rPr>
      </w:pPr>
      <w:r>
        <w:rPr>
          <w:rFonts w:ascii="宋体" w:hAnsi="宋体" w:eastAsia="宋体" w:cs="宋体"/>
          <w:lang w:val="en-US"/>
        </w:rPr>
        <w:t>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  <w:lang w:val="en-US"/>
        </w:rPr>
        <w:t>年部门政府采购预算表</w:t>
      </w:r>
    </w:p>
    <w:p>
      <w:pPr>
        <w:pStyle w:val="20"/>
        <w:shd w:val="clear" w:color="auto" w:fill="auto"/>
        <w:spacing w:line="360" w:lineRule="auto"/>
        <w:jc w:val="both"/>
        <w:rPr>
          <w:rFonts w:ascii="仿宋" w:hAnsi="仿宋" w:eastAsia="仿宋" w:cs="仿宋"/>
          <w:sz w:val="32"/>
          <w:szCs w:val="32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pgSz w:w="11900" w:h="16840"/>
          <w:pgMar w:top="1920" w:right="1182" w:bottom="1775" w:left="1296" w:header="0" w:footer="3" w:gutter="0"/>
          <w:cols w:space="720" w:num="1"/>
          <w:docGrid w:linePitch="360" w:charSpace="0"/>
        </w:sectPr>
      </w:pPr>
      <w:r>
        <w:rPr>
          <w:rFonts w:ascii="宋体" w:hAnsi="宋体" w:eastAsia="宋体" w:cs="宋体"/>
          <w:lang w:val="en-US"/>
        </w:rPr>
        <w:t>10.20</w:t>
      </w:r>
      <w:r>
        <w:rPr>
          <w:rFonts w:hint="eastAsia" w:ascii="宋体" w:hAnsi="宋体" w:eastAsia="宋体" w:cs="宋体"/>
          <w:lang w:val="en-US" w:eastAsia="zh-CN"/>
        </w:rPr>
        <w:t>21</w:t>
      </w:r>
      <w:r>
        <w:rPr>
          <w:rFonts w:hint="eastAsia" w:ascii="宋体" w:hAnsi="宋体" w:eastAsia="宋体" w:cs="宋体"/>
          <w:lang w:val="en-US"/>
        </w:rPr>
        <w:t>年政府购买服务预算</w:t>
      </w:r>
    </w:p>
    <w:p>
      <w:pPr>
        <w:pStyle w:val="20"/>
        <w:shd w:val="clear" w:color="auto" w:fill="auto"/>
        <w:tabs>
          <w:tab w:val="left" w:pos="1280"/>
        </w:tabs>
        <w:spacing w:line="360" w:lineRule="auto"/>
        <w:jc w:val="both"/>
        <w:rPr>
          <w:rFonts w:ascii="宋体" w:hAnsi="宋体" w:eastAsia="宋体" w:cs="宋体"/>
        </w:rPr>
      </w:pPr>
      <w:bookmarkStart w:id="1" w:name="_GoBack"/>
      <w:bookmarkEnd w:id="1"/>
    </w:p>
    <w:sectPr>
      <w:headerReference r:id="rId9" w:type="default"/>
      <w:footerReference r:id="rId10" w:type="default"/>
      <w:footerReference r:id="rId11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114935" cy="131445"/>
              <wp:effectExtent l="0" t="0" r="0" b="381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8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30"/>
                            </w:rPr>
                            <w:t>11</w:t>
                          </w:r>
                          <w:r>
                            <w:rPr>
                              <w:rStyle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88.75pt;margin-top:780.6pt;height:10.35pt;width:9.0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1USFC9gAAAANAQAADwAAAAAAAAABACAAAAAiAAAAZHJzL2Rvd25yZXYueG1s&#10;UEsBAhQAFAAAAAgAh07iQDrMfsD4AQAAAQQAAA4AAAAAAAAAAQAgAAAAJwEAAGRycy9lMm9Eb2Mu&#10;eG1sUEsFBgAAAAAGAAYAWQEAAJ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8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30"/>
                      </w:rPr>
                      <w:t>11</w:t>
                    </w:r>
                    <w:r>
                      <w:rPr>
                        <w:rStyle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9913620</wp:posOffset>
              </wp:positionV>
              <wp:extent cx="114935" cy="131445"/>
              <wp:effectExtent l="0" t="0" r="0" b="38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8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30"/>
                            </w:rPr>
                            <w:t>10</w:t>
                          </w:r>
                          <w:r>
                            <w:rPr>
                              <w:rStyle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288.75pt;margin-top:780.6pt;height:10.35pt;width:9.05pt;mso-position-horizontal-relative:page;mso-position-vertical-relative:page;mso-wrap-style:none;z-index:-251656192;mso-width-relative:page;mso-height-relative:page;" filled="f" stroked="f" coordsize="21600,21600" o:gfxdata="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VRIUL2AAAAA0BAAAPAAAAAAAAAAEAIAAAACIAAABkcnMvZG93bnJldi54&#10;bWxQSwECFAAUAAAACACHTuJA/h7T+/oBAAABBAAADgAAAAAAAAABACAAAAAn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8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30"/>
                      </w:rPr>
                      <w:t>10</w:t>
                    </w:r>
                    <w:r>
                      <w:rPr>
                        <w:rStyle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1E84A9"/>
    <w:multiLevelType w:val="singleLevel"/>
    <w:tmpl w:val="AB1E84A9"/>
    <w:lvl w:ilvl="0" w:tentative="0">
      <w:start w:val="1"/>
      <w:numFmt w:val="decimal"/>
      <w:suff w:val="nothing"/>
      <w:lvlText w:val="%1．"/>
      <w:lvlJc w:val="left"/>
      <w:pPr>
        <w:ind w:firstLine="400"/>
      </w:pPr>
      <w:rPr>
        <w:rFonts w:hint="default" w:cs="Times New Roman"/>
      </w:rPr>
    </w:lvl>
  </w:abstractNum>
  <w:abstractNum w:abstractNumId="1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2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</w:rPr>
    </w:lvl>
  </w:abstractNum>
  <w:abstractNum w:abstractNumId="3">
    <w:nsid w:val="32E7DDA3"/>
    <w:multiLevelType w:val="singleLevel"/>
    <w:tmpl w:val="32E7DDA3"/>
    <w:lvl w:ilvl="0" w:tentative="0">
      <w:start w:val="9"/>
      <w:numFmt w:val="chineseCounting"/>
      <w:suff w:val="nothing"/>
      <w:lvlText w:val="%1、"/>
      <w:lvlJc w:val="left"/>
      <w:rPr>
        <w:rFonts w:hint="eastAsia" w:cs="Times New Roman"/>
      </w:rPr>
    </w:lvl>
  </w:abstractNum>
  <w:abstractNum w:abstractNumId="4">
    <w:nsid w:val="35D0E883"/>
    <w:multiLevelType w:val="singleLevel"/>
    <w:tmpl w:val="35D0E883"/>
    <w:lvl w:ilvl="0" w:tentative="0">
      <w:start w:val="1"/>
      <w:numFmt w:val="decimal"/>
      <w:suff w:val="nothing"/>
      <w:lvlText w:val="%1、"/>
      <w:lvlJc w:val="left"/>
      <w:pPr>
        <w:ind w:left="-10"/>
      </w:pPr>
    </w:lvl>
  </w:abstractNum>
  <w:abstractNum w:abstractNumId="5">
    <w:nsid w:val="3900606A"/>
    <w:multiLevelType w:val="singleLevel"/>
    <w:tmpl w:val="3900606A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2YWU0OGE2ODcxYjNhNDc4OTg5ZTIyOTA1NjUyNmUifQ=="/>
  </w:docVars>
  <w:rsids>
    <w:rsidRoot w:val="0033577B"/>
    <w:rsid w:val="00060560"/>
    <w:rsid w:val="00075689"/>
    <w:rsid w:val="000D7513"/>
    <w:rsid w:val="001B0BC3"/>
    <w:rsid w:val="00215249"/>
    <w:rsid w:val="00265585"/>
    <w:rsid w:val="00274B91"/>
    <w:rsid w:val="00297CBB"/>
    <w:rsid w:val="002B452A"/>
    <w:rsid w:val="002D60F5"/>
    <w:rsid w:val="002F2597"/>
    <w:rsid w:val="003208A2"/>
    <w:rsid w:val="0033577B"/>
    <w:rsid w:val="00397722"/>
    <w:rsid w:val="003B23EF"/>
    <w:rsid w:val="003B459D"/>
    <w:rsid w:val="00413187"/>
    <w:rsid w:val="00420FE0"/>
    <w:rsid w:val="004D76AB"/>
    <w:rsid w:val="004E5797"/>
    <w:rsid w:val="004F768F"/>
    <w:rsid w:val="00534565"/>
    <w:rsid w:val="00554A3E"/>
    <w:rsid w:val="005928E9"/>
    <w:rsid w:val="00641A63"/>
    <w:rsid w:val="0067705F"/>
    <w:rsid w:val="006B33A9"/>
    <w:rsid w:val="00720550"/>
    <w:rsid w:val="007609DA"/>
    <w:rsid w:val="007C464C"/>
    <w:rsid w:val="00865234"/>
    <w:rsid w:val="0092259E"/>
    <w:rsid w:val="00925B79"/>
    <w:rsid w:val="009C4741"/>
    <w:rsid w:val="00AC3E09"/>
    <w:rsid w:val="00C25BEF"/>
    <w:rsid w:val="00CB1B53"/>
    <w:rsid w:val="00CE7864"/>
    <w:rsid w:val="00D6440E"/>
    <w:rsid w:val="00DA621A"/>
    <w:rsid w:val="00E0114F"/>
    <w:rsid w:val="00E122E6"/>
    <w:rsid w:val="00E161F6"/>
    <w:rsid w:val="00E35732"/>
    <w:rsid w:val="00E75B35"/>
    <w:rsid w:val="00ED7788"/>
    <w:rsid w:val="00EF2F41"/>
    <w:rsid w:val="00F864F0"/>
    <w:rsid w:val="00FB3496"/>
    <w:rsid w:val="00FC13C5"/>
    <w:rsid w:val="00FD0DDB"/>
    <w:rsid w:val="02431E11"/>
    <w:rsid w:val="043E2F4A"/>
    <w:rsid w:val="074910A2"/>
    <w:rsid w:val="075B5D66"/>
    <w:rsid w:val="0785427E"/>
    <w:rsid w:val="0C91771D"/>
    <w:rsid w:val="0D1A45DD"/>
    <w:rsid w:val="0D8574D2"/>
    <w:rsid w:val="0FDA50DF"/>
    <w:rsid w:val="109B21AC"/>
    <w:rsid w:val="13760A0B"/>
    <w:rsid w:val="13E32373"/>
    <w:rsid w:val="13F217DA"/>
    <w:rsid w:val="14F04E9F"/>
    <w:rsid w:val="18C51E80"/>
    <w:rsid w:val="1C8D24DC"/>
    <w:rsid w:val="1D4A2712"/>
    <w:rsid w:val="1DDE2AFD"/>
    <w:rsid w:val="1F2D795C"/>
    <w:rsid w:val="20704300"/>
    <w:rsid w:val="21071CD9"/>
    <w:rsid w:val="24187DF0"/>
    <w:rsid w:val="24E877DF"/>
    <w:rsid w:val="250E3D3B"/>
    <w:rsid w:val="265042E5"/>
    <w:rsid w:val="276B45D1"/>
    <w:rsid w:val="28265DC8"/>
    <w:rsid w:val="283233E6"/>
    <w:rsid w:val="286A683C"/>
    <w:rsid w:val="299D31EA"/>
    <w:rsid w:val="2A2A59D5"/>
    <w:rsid w:val="2B631C73"/>
    <w:rsid w:val="2C7C38A6"/>
    <w:rsid w:val="2CFC0967"/>
    <w:rsid w:val="2EDA3662"/>
    <w:rsid w:val="2F142897"/>
    <w:rsid w:val="2F3D0F23"/>
    <w:rsid w:val="2FC8303B"/>
    <w:rsid w:val="332C6584"/>
    <w:rsid w:val="338121F6"/>
    <w:rsid w:val="34651E4C"/>
    <w:rsid w:val="36F23E90"/>
    <w:rsid w:val="3A792A64"/>
    <w:rsid w:val="3B6E490E"/>
    <w:rsid w:val="3C597A01"/>
    <w:rsid w:val="3D7A4687"/>
    <w:rsid w:val="3D81035B"/>
    <w:rsid w:val="3EA87366"/>
    <w:rsid w:val="405B5988"/>
    <w:rsid w:val="430000D7"/>
    <w:rsid w:val="460354CB"/>
    <w:rsid w:val="48105303"/>
    <w:rsid w:val="48387A68"/>
    <w:rsid w:val="48820020"/>
    <w:rsid w:val="49CB2F6A"/>
    <w:rsid w:val="4A972C95"/>
    <w:rsid w:val="4AA81C1E"/>
    <w:rsid w:val="4AC75B2F"/>
    <w:rsid w:val="4B894EB0"/>
    <w:rsid w:val="4E24045A"/>
    <w:rsid w:val="4E4D02A1"/>
    <w:rsid w:val="4E935B51"/>
    <w:rsid w:val="4F6F3766"/>
    <w:rsid w:val="50C22DCB"/>
    <w:rsid w:val="50E907FF"/>
    <w:rsid w:val="58294FDD"/>
    <w:rsid w:val="586F52FE"/>
    <w:rsid w:val="5A9304C2"/>
    <w:rsid w:val="5AEC5011"/>
    <w:rsid w:val="5BCE528C"/>
    <w:rsid w:val="60CF6719"/>
    <w:rsid w:val="613A5B9A"/>
    <w:rsid w:val="62A45082"/>
    <w:rsid w:val="6368771C"/>
    <w:rsid w:val="673D6FD7"/>
    <w:rsid w:val="6800604A"/>
    <w:rsid w:val="68F614E7"/>
    <w:rsid w:val="6A6261E0"/>
    <w:rsid w:val="6C890CDF"/>
    <w:rsid w:val="6EB4664F"/>
    <w:rsid w:val="6EC55030"/>
    <w:rsid w:val="6FA1255B"/>
    <w:rsid w:val="743B6902"/>
    <w:rsid w:val="78600472"/>
    <w:rsid w:val="7AB86BD0"/>
    <w:rsid w:val="7BFF3A55"/>
    <w:rsid w:val="7D8D0811"/>
    <w:rsid w:val="7E9B2FF7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color w:val="000000"/>
      <w:kern w:val="0"/>
      <w:sz w:val="24"/>
      <w:szCs w:val="24"/>
      <w:lang w:val="zh-CN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color w:val="auto"/>
      <w:lang w:val="en-US"/>
    </w:rPr>
  </w:style>
  <w:style w:type="character" w:styleId="7">
    <w:name w:val="Strong"/>
    <w:basedOn w:val="6"/>
    <w:qFormat/>
    <w:locked/>
    <w:uiPriority w:val="22"/>
    <w:rPr>
      <w:b/>
    </w:rPr>
  </w:style>
  <w:style w:type="character" w:styleId="8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9">
    <w:name w:val="页脚 Char"/>
    <w:basedOn w:val="6"/>
    <w:link w:val="2"/>
    <w:qFormat/>
    <w:locked/>
    <w:uiPriority w:val="99"/>
    <w:rPr>
      <w:rFonts w:eastAsia="Times New Roman" w:cs="Times New Roman"/>
      <w:color w:val="000000"/>
      <w:sz w:val="18"/>
      <w:szCs w:val="18"/>
      <w:lang w:val="zh-CN"/>
    </w:rPr>
  </w:style>
  <w:style w:type="character" w:customStyle="1" w:styleId="10">
    <w:name w:val="页眉 Char"/>
    <w:basedOn w:val="6"/>
    <w:link w:val="3"/>
    <w:qFormat/>
    <w:locked/>
    <w:uiPriority w:val="99"/>
    <w:rPr>
      <w:rFonts w:eastAsia="Times New Roman" w:cs="Times New Roman"/>
      <w:color w:val="000000"/>
      <w:sz w:val="18"/>
      <w:szCs w:val="18"/>
      <w:lang w:val="zh-CN"/>
    </w:rPr>
  </w:style>
  <w:style w:type="character" w:customStyle="1" w:styleId="11">
    <w:name w:val="Body text|3_"/>
    <w:basedOn w:val="6"/>
    <w:link w:val="12"/>
    <w:qFormat/>
    <w:locked/>
    <w:uiPriority w:val="99"/>
    <w:rPr>
      <w:rFonts w:ascii="PMingLiU" w:hAnsi="PMingLiU" w:eastAsia="PMingLiU" w:cs="PMingLiU"/>
      <w:sz w:val="52"/>
      <w:szCs w:val="52"/>
      <w:u w:val="none"/>
    </w:rPr>
  </w:style>
  <w:style w:type="paragraph" w:customStyle="1" w:styleId="12">
    <w:name w:val="Body text|3"/>
    <w:basedOn w:val="1"/>
    <w:link w:val="11"/>
    <w:qFormat/>
    <w:uiPriority w:val="99"/>
    <w:pPr>
      <w:shd w:val="clear" w:color="auto" w:fill="FFFFFF"/>
      <w:spacing w:after="5400" w:line="1133" w:lineRule="exact"/>
      <w:jc w:val="center"/>
    </w:pPr>
    <w:rPr>
      <w:rFonts w:ascii="PMingLiU" w:hAnsi="PMingLiU" w:eastAsia="PMingLiU" w:cs="PMingLiU"/>
      <w:sz w:val="52"/>
      <w:szCs w:val="52"/>
    </w:rPr>
  </w:style>
  <w:style w:type="character" w:customStyle="1" w:styleId="13">
    <w:name w:val="Body text|3 + Times New Roman"/>
    <w:basedOn w:val="11"/>
    <w:semiHidden/>
    <w:qFormat/>
    <w:uiPriority w:val="99"/>
    <w:rPr>
      <w:rFonts w:ascii="Times New Roman" w:hAnsi="Times New Roman" w:eastAsia="PMingLiU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/>
    </w:rPr>
  </w:style>
  <w:style w:type="character" w:customStyle="1" w:styleId="14">
    <w:name w:val="Body text|4_"/>
    <w:basedOn w:val="6"/>
    <w:link w:val="15"/>
    <w:qFormat/>
    <w:locked/>
    <w:uiPriority w:val="99"/>
    <w:rPr>
      <w:rFonts w:ascii="PMingLiU" w:hAnsi="PMingLiU" w:eastAsia="PMingLiU" w:cs="PMingLiU"/>
      <w:sz w:val="36"/>
      <w:szCs w:val="36"/>
      <w:u w:val="none"/>
    </w:rPr>
  </w:style>
  <w:style w:type="paragraph" w:customStyle="1" w:styleId="15">
    <w:name w:val="Body text|4"/>
    <w:basedOn w:val="1"/>
    <w:link w:val="14"/>
    <w:qFormat/>
    <w:uiPriority w:val="99"/>
    <w:pPr>
      <w:shd w:val="clear" w:color="auto" w:fill="FFFFFF"/>
      <w:spacing w:before="5400" w:line="360" w:lineRule="exact"/>
    </w:pPr>
    <w:rPr>
      <w:rFonts w:ascii="PMingLiU" w:hAnsi="PMingLiU" w:eastAsia="PMingLiU" w:cs="PMingLiU"/>
      <w:sz w:val="36"/>
      <w:szCs w:val="36"/>
    </w:rPr>
  </w:style>
  <w:style w:type="character" w:customStyle="1" w:styleId="16">
    <w:name w:val="Body text|4 + Spacing 4 pt"/>
    <w:basedOn w:val="14"/>
    <w:semiHidden/>
    <w:qFormat/>
    <w:uiPriority w:val="99"/>
    <w:rPr>
      <w:rFonts w:ascii="PMingLiU" w:hAnsi="PMingLiU" w:eastAsia="PMingLiU" w:cs="PMingLiU"/>
      <w:color w:val="000000"/>
      <w:spacing w:val="80"/>
      <w:w w:val="100"/>
      <w:position w:val="0"/>
      <w:sz w:val="36"/>
      <w:szCs w:val="36"/>
      <w:u w:val="none"/>
      <w:lang w:val="zh-CN" w:eastAsia="zh-CN"/>
    </w:rPr>
  </w:style>
  <w:style w:type="character" w:customStyle="1" w:styleId="17">
    <w:name w:val="Body text|5_"/>
    <w:basedOn w:val="6"/>
    <w:link w:val="18"/>
    <w:qFormat/>
    <w:locked/>
    <w:uiPriority w:val="99"/>
    <w:rPr>
      <w:rFonts w:ascii="PMingLiU" w:hAnsi="PMingLiU" w:eastAsia="PMingLiU" w:cs="PMingLiU"/>
      <w:b/>
      <w:bCs/>
      <w:spacing w:val="30"/>
      <w:sz w:val="30"/>
      <w:szCs w:val="30"/>
      <w:u w:val="none"/>
    </w:rPr>
  </w:style>
  <w:style w:type="paragraph" w:customStyle="1" w:styleId="18">
    <w:name w:val="Body text|5"/>
    <w:basedOn w:val="1"/>
    <w:link w:val="17"/>
    <w:qFormat/>
    <w:uiPriority w:val="99"/>
    <w:pPr>
      <w:shd w:val="clear" w:color="auto" w:fill="FFFFFF"/>
      <w:spacing w:line="480" w:lineRule="exact"/>
    </w:pPr>
    <w:rPr>
      <w:rFonts w:ascii="PMingLiU" w:hAnsi="PMingLiU" w:eastAsia="PMingLiU" w:cs="PMingLiU"/>
      <w:b/>
      <w:bCs/>
      <w:spacing w:val="30"/>
      <w:sz w:val="30"/>
      <w:szCs w:val="30"/>
    </w:rPr>
  </w:style>
  <w:style w:type="character" w:customStyle="1" w:styleId="19">
    <w:name w:val="Body text|2_"/>
    <w:basedOn w:val="6"/>
    <w:link w:val="20"/>
    <w:qFormat/>
    <w:locked/>
    <w:uiPriority w:val="99"/>
    <w:rPr>
      <w:rFonts w:ascii="PMingLiU" w:hAnsi="PMingLiU" w:eastAsia="PMingLiU" w:cs="PMingLiU"/>
      <w:spacing w:val="30"/>
      <w:sz w:val="30"/>
      <w:szCs w:val="30"/>
      <w:u w:val="none"/>
    </w:rPr>
  </w:style>
  <w:style w:type="paragraph" w:customStyle="1" w:styleId="20">
    <w:name w:val="Body text|2"/>
    <w:basedOn w:val="1"/>
    <w:link w:val="19"/>
    <w:qFormat/>
    <w:uiPriority w:val="99"/>
    <w:pPr>
      <w:shd w:val="clear" w:color="auto" w:fill="FFFFFF"/>
      <w:spacing w:line="300" w:lineRule="exact"/>
    </w:pPr>
    <w:rPr>
      <w:rFonts w:ascii="PMingLiU" w:hAnsi="PMingLiU" w:eastAsia="PMingLiU" w:cs="PMingLiU"/>
      <w:spacing w:val="30"/>
      <w:sz w:val="30"/>
      <w:szCs w:val="30"/>
    </w:rPr>
  </w:style>
  <w:style w:type="character" w:customStyle="1" w:styleId="21">
    <w:name w:val="Body text|2 + Times New Roman"/>
    <w:basedOn w:val="19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34"/>
      <w:szCs w:val="34"/>
      <w:u w:val="none"/>
      <w:lang w:val="en-US" w:eastAsia="en-US"/>
    </w:rPr>
  </w:style>
  <w:style w:type="character" w:customStyle="1" w:styleId="22">
    <w:name w:val="Body text|2 + Bold"/>
    <w:basedOn w:val="19"/>
    <w:semiHidden/>
    <w:qFormat/>
    <w:uiPriority w:val="99"/>
    <w:rPr>
      <w:rFonts w:ascii="PMingLiU" w:hAnsi="PMingLiU" w:eastAsia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/>
    </w:rPr>
  </w:style>
  <w:style w:type="character" w:customStyle="1" w:styleId="23">
    <w:name w:val="Body text|6_"/>
    <w:basedOn w:val="6"/>
    <w:link w:val="24"/>
    <w:qFormat/>
    <w:locked/>
    <w:uiPriority w:val="99"/>
    <w:rPr>
      <w:rFonts w:ascii="PMingLiU" w:hAnsi="PMingLiU" w:eastAsia="PMingLiU" w:cs="PMingLiU"/>
      <w:spacing w:val="30"/>
      <w:sz w:val="32"/>
      <w:szCs w:val="32"/>
      <w:u w:val="none"/>
    </w:rPr>
  </w:style>
  <w:style w:type="paragraph" w:customStyle="1" w:styleId="24">
    <w:name w:val="Body text|6"/>
    <w:basedOn w:val="1"/>
    <w:link w:val="23"/>
    <w:qFormat/>
    <w:uiPriority w:val="99"/>
    <w:pPr>
      <w:shd w:val="clear" w:color="auto" w:fill="FFFFFF"/>
      <w:spacing w:after="320" w:line="320" w:lineRule="exact"/>
      <w:jc w:val="center"/>
    </w:pPr>
    <w:rPr>
      <w:rFonts w:ascii="PMingLiU" w:hAnsi="PMingLiU" w:eastAsia="PMingLiU" w:cs="PMingLiU"/>
      <w:spacing w:val="30"/>
      <w:sz w:val="32"/>
      <w:szCs w:val="32"/>
    </w:rPr>
  </w:style>
  <w:style w:type="character" w:customStyle="1" w:styleId="25">
    <w:name w:val="Body text|2 + 12 pt"/>
    <w:basedOn w:val="19"/>
    <w:semiHidden/>
    <w:qFormat/>
    <w:uiPriority w:val="99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  <w:style w:type="character" w:customStyle="1" w:styleId="26">
    <w:name w:val="Body text|6 + Times New Roman"/>
    <w:basedOn w:val="23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34"/>
      <w:szCs w:val="34"/>
      <w:u w:val="none"/>
      <w:lang w:val="zh-CN" w:eastAsia="zh-CN"/>
    </w:rPr>
  </w:style>
  <w:style w:type="character" w:customStyle="1" w:styleId="27">
    <w:name w:val="Header or footer|1_"/>
    <w:basedOn w:val="6"/>
    <w:link w:val="28"/>
    <w:qFormat/>
    <w:locked/>
    <w:uiPriority w:val="99"/>
    <w:rPr>
      <w:rFonts w:ascii="PMingLiU" w:hAnsi="PMingLiU" w:eastAsia="PMingLiU" w:cs="PMingLiU"/>
      <w:spacing w:val="20"/>
      <w:sz w:val="19"/>
      <w:szCs w:val="19"/>
      <w:u w:val="none"/>
    </w:rPr>
  </w:style>
  <w:style w:type="paragraph" w:customStyle="1" w:styleId="28">
    <w:name w:val="Header or footer|11"/>
    <w:basedOn w:val="1"/>
    <w:link w:val="27"/>
    <w:qFormat/>
    <w:uiPriority w:val="99"/>
    <w:pPr>
      <w:shd w:val="clear" w:color="auto" w:fill="FFFFFF"/>
      <w:spacing w:line="190" w:lineRule="exact"/>
    </w:pPr>
    <w:rPr>
      <w:rFonts w:ascii="PMingLiU" w:hAnsi="PMingLiU" w:eastAsia="PMingLiU" w:cs="PMingLiU"/>
      <w:spacing w:val="20"/>
      <w:sz w:val="19"/>
      <w:szCs w:val="19"/>
    </w:rPr>
  </w:style>
  <w:style w:type="character" w:customStyle="1" w:styleId="29">
    <w:name w:val="Header or footer|1"/>
    <w:basedOn w:val="27"/>
    <w:semiHidden/>
    <w:qFormat/>
    <w:uiPriority w:val="99"/>
    <w:rPr>
      <w:rFonts w:ascii="PMingLiU" w:hAnsi="PMingLiU" w:eastAsia="PMingLiU" w:cs="PMingLiU"/>
      <w:color w:val="000000"/>
      <w:spacing w:val="20"/>
      <w:w w:val="100"/>
      <w:position w:val="0"/>
      <w:sz w:val="19"/>
      <w:szCs w:val="19"/>
      <w:u w:val="none"/>
      <w:lang w:val="zh-CN" w:eastAsia="zh-CN"/>
    </w:rPr>
  </w:style>
  <w:style w:type="character" w:customStyle="1" w:styleId="30">
    <w:name w:val="Header or footer|1 + Times New Roman"/>
    <w:basedOn w:val="27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18"/>
      <w:szCs w:val="18"/>
      <w:u w:val="none"/>
      <w:lang w:val="zh-CN" w:eastAsia="zh-CN"/>
    </w:rPr>
  </w:style>
  <w:style w:type="character" w:customStyle="1" w:styleId="31">
    <w:name w:val="Heading #1|1_"/>
    <w:basedOn w:val="6"/>
    <w:link w:val="32"/>
    <w:qFormat/>
    <w:locked/>
    <w:uiPriority w:val="99"/>
    <w:rPr>
      <w:rFonts w:ascii="PMingLiU" w:hAnsi="PMingLiU" w:eastAsia="PMingLiU" w:cs="PMingLiU"/>
      <w:sz w:val="36"/>
      <w:szCs w:val="36"/>
      <w:u w:val="none"/>
    </w:rPr>
  </w:style>
  <w:style w:type="paragraph" w:customStyle="1" w:styleId="32">
    <w:name w:val="Heading #1|1"/>
    <w:basedOn w:val="1"/>
    <w:link w:val="31"/>
    <w:qFormat/>
    <w:uiPriority w:val="99"/>
    <w:pPr>
      <w:shd w:val="clear" w:color="auto" w:fill="FFFFFF"/>
      <w:spacing w:before="780" w:line="360" w:lineRule="exact"/>
      <w:outlineLvl w:val="0"/>
    </w:pPr>
    <w:rPr>
      <w:rFonts w:ascii="PMingLiU" w:hAnsi="PMingLiU" w:eastAsia="PMingLiU" w:cs="PMingLiU"/>
      <w:sz w:val="36"/>
      <w:szCs w:val="36"/>
    </w:rPr>
  </w:style>
  <w:style w:type="character" w:customStyle="1" w:styleId="33">
    <w:name w:val="Table caption|1_"/>
    <w:basedOn w:val="6"/>
    <w:link w:val="34"/>
    <w:qFormat/>
    <w:locked/>
    <w:uiPriority w:val="99"/>
    <w:rPr>
      <w:rFonts w:ascii="PMingLiU" w:hAnsi="PMingLiU" w:eastAsia="PMingLiU" w:cs="PMingLiU"/>
      <w:sz w:val="20"/>
      <w:szCs w:val="20"/>
      <w:u w:val="none"/>
    </w:rPr>
  </w:style>
  <w:style w:type="paragraph" w:customStyle="1" w:styleId="34">
    <w:name w:val="Table caption|1"/>
    <w:basedOn w:val="1"/>
    <w:link w:val="33"/>
    <w:qFormat/>
    <w:uiPriority w:val="99"/>
    <w:pPr>
      <w:shd w:val="clear" w:color="auto" w:fill="FFFFFF"/>
      <w:spacing w:line="200" w:lineRule="exact"/>
    </w:pPr>
    <w:rPr>
      <w:rFonts w:ascii="PMingLiU" w:hAnsi="PMingLiU" w:eastAsia="PMingLiU" w:cs="PMingLiU"/>
      <w:sz w:val="20"/>
      <w:szCs w:val="20"/>
    </w:rPr>
  </w:style>
  <w:style w:type="character" w:customStyle="1" w:styleId="35">
    <w:name w:val="Table caption|1 + Spacing 2 pt"/>
    <w:basedOn w:val="33"/>
    <w:semiHidden/>
    <w:qFormat/>
    <w:uiPriority w:val="99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36">
    <w:name w:val="Body text|2 + 10 pt"/>
    <w:basedOn w:val="19"/>
    <w:semiHidden/>
    <w:qFormat/>
    <w:uiPriority w:val="99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/>
    </w:rPr>
  </w:style>
  <w:style w:type="character" w:customStyle="1" w:styleId="37">
    <w:name w:val="Body text|2 + 10 pt1"/>
    <w:basedOn w:val="19"/>
    <w:semiHidden/>
    <w:qFormat/>
    <w:uiPriority w:val="99"/>
    <w:rPr>
      <w:rFonts w:ascii="PMingLiU" w:hAnsi="PMingLiU" w:eastAsia="PMingLiU" w:cs="PMingLiU"/>
      <w:color w:val="000000"/>
      <w:spacing w:val="0"/>
      <w:w w:val="100"/>
      <w:position w:val="0"/>
      <w:sz w:val="20"/>
      <w:szCs w:val="20"/>
      <w:u w:val="none"/>
      <w:lang w:val="zh-CN" w:eastAsia="zh-CN"/>
    </w:rPr>
  </w:style>
  <w:style w:type="character" w:customStyle="1" w:styleId="38">
    <w:name w:val="Body text|2 + 18 pt"/>
    <w:basedOn w:val="19"/>
    <w:semiHidden/>
    <w:qFormat/>
    <w:uiPriority w:val="99"/>
    <w:rPr>
      <w:rFonts w:ascii="PMingLiU" w:hAnsi="PMingLiU" w:eastAsia="PMingLiU" w:cs="PMingLiU"/>
      <w:color w:val="000000"/>
      <w:spacing w:val="90"/>
      <w:w w:val="60"/>
      <w:position w:val="0"/>
      <w:sz w:val="36"/>
      <w:szCs w:val="36"/>
      <w:u w:val="none"/>
      <w:lang w:val="zh-CN" w:eastAsia="zh-CN"/>
    </w:rPr>
  </w:style>
  <w:style w:type="character" w:customStyle="1" w:styleId="39">
    <w:name w:val="Body text|2 + 21 pt"/>
    <w:basedOn w:val="19"/>
    <w:semiHidden/>
    <w:qFormat/>
    <w:uiPriority w:val="99"/>
    <w:rPr>
      <w:rFonts w:ascii="PMingLiU" w:hAnsi="PMingLiU" w:eastAsia="PMingLiU" w:cs="PMingLiU"/>
      <w:color w:val="000000"/>
      <w:spacing w:val="70"/>
      <w:w w:val="90"/>
      <w:position w:val="0"/>
      <w:sz w:val="42"/>
      <w:szCs w:val="42"/>
      <w:u w:val="none"/>
      <w:lang w:val="zh-CN" w:eastAsia="zh-CN"/>
    </w:rPr>
  </w:style>
  <w:style w:type="character" w:customStyle="1" w:styleId="40">
    <w:name w:val="Body text|2 + Times New Roman1"/>
    <w:basedOn w:val="19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21"/>
      <w:szCs w:val="21"/>
      <w:u w:val="none"/>
      <w:lang w:val="en-US" w:eastAsia="en-US"/>
    </w:rPr>
  </w:style>
  <w:style w:type="character" w:customStyle="1" w:styleId="41">
    <w:name w:val="Table caption|1 Exact"/>
    <w:basedOn w:val="6"/>
    <w:semiHidden/>
    <w:qFormat/>
    <w:uiPriority w:val="99"/>
    <w:rPr>
      <w:rFonts w:ascii="PMingLiU" w:hAnsi="PMingLiU" w:eastAsia="PMingLiU" w:cs="PMingLiU"/>
      <w:sz w:val="20"/>
      <w:szCs w:val="20"/>
      <w:u w:val="none"/>
    </w:rPr>
  </w:style>
  <w:style w:type="character" w:customStyle="1" w:styleId="42">
    <w:name w:val="Body text|7_"/>
    <w:basedOn w:val="6"/>
    <w:link w:val="43"/>
    <w:qFormat/>
    <w:locked/>
    <w:uiPriority w:val="99"/>
    <w:rPr>
      <w:rFonts w:ascii="PMingLiU" w:hAnsi="PMingLiU" w:eastAsia="PMingLiU" w:cs="PMingLiU"/>
      <w:sz w:val="20"/>
      <w:szCs w:val="20"/>
      <w:u w:val="none"/>
    </w:rPr>
  </w:style>
  <w:style w:type="paragraph" w:customStyle="1" w:styleId="43">
    <w:name w:val="Body text|7"/>
    <w:basedOn w:val="1"/>
    <w:link w:val="42"/>
    <w:qFormat/>
    <w:uiPriority w:val="99"/>
    <w:pPr>
      <w:shd w:val="clear" w:color="auto" w:fill="FFFFFF"/>
      <w:spacing w:after="320" w:line="200" w:lineRule="exact"/>
      <w:jc w:val="right"/>
    </w:pPr>
    <w:rPr>
      <w:rFonts w:ascii="PMingLiU" w:hAnsi="PMingLiU" w:eastAsia="PMingLiU" w:cs="PMingLiU"/>
      <w:sz w:val="20"/>
      <w:szCs w:val="20"/>
    </w:rPr>
  </w:style>
  <w:style w:type="character" w:customStyle="1" w:styleId="44">
    <w:name w:val="Header or footer|1 + Times New Roman1"/>
    <w:basedOn w:val="27"/>
    <w:semiHidden/>
    <w:qFormat/>
    <w:uiPriority w:val="99"/>
    <w:rPr>
      <w:rFonts w:ascii="Times New Roman" w:hAnsi="Times New Roman" w:eastAsia="PMingLiU" w:cs="Times New Roman"/>
      <w:color w:val="000000"/>
      <w:spacing w:val="0"/>
      <w:w w:val="100"/>
      <w:position w:val="0"/>
      <w:sz w:val="11"/>
      <w:szCs w:val="11"/>
      <w:u w:val="none"/>
      <w:lang w:val="en-US" w:eastAsia="en-US"/>
    </w:rPr>
  </w:style>
  <w:style w:type="character" w:customStyle="1" w:styleId="45">
    <w:name w:val="Header or footer|1 + 10 pt"/>
    <w:basedOn w:val="27"/>
    <w:semiHidden/>
    <w:qFormat/>
    <w:uiPriority w:val="99"/>
    <w:rPr>
      <w:rFonts w:ascii="PMingLiU" w:hAnsi="PMingLiU" w:eastAsia="PMingLiU" w:cs="PMingLiU"/>
      <w:color w:val="000000"/>
      <w:spacing w:val="30"/>
      <w:w w:val="80"/>
      <w:position w:val="0"/>
      <w:sz w:val="20"/>
      <w:szCs w:val="20"/>
      <w:u w:val="none"/>
      <w:lang w:val="zh-CN" w:eastAsia="zh-CN"/>
    </w:rPr>
  </w:style>
  <w:style w:type="character" w:customStyle="1" w:styleId="46">
    <w:name w:val="Header or footer|1 + Times New Roman2"/>
    <w:basedOn w:val="27"/>
    <w:semiHidden/>
    <w:qFormat/>
    <w:uiPriority w:val="99"/>
    <w:rPr>
      <w:rFonts w:ascii="Times New Roman" w:hAnsi="Times New Roman" w:eastAsia="PMingLiU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/>
    </w:rPr>
  </w:style>
  <w:style w:type="character" w:customStyle="1" w:styleId="47">
    <w:name w:val="Body text|2 + 10.5 pt"/>
    <w:basedOn w:val="19"/>
    <w:semiHidden/>
    <w:qFormat/>
    <w:uiPriority w:val="99"/>
    <w:rPr>
      <w:rFonts w:ascii="PMingLiU" w:hAnsi="PMingLiU" w:eastAsia="PMingLiU" w:cs="PMingLiU"/>
      <w:color w:val="000000"/>
      <w:spacing w:val="60"/>
      <w:w w:val="100"/>
      <w:position w:val="0"/>
      <w:sz w:val="21"/>
      <w:szCs w:val="21"/>
      <w:u w:val="none"/>
      <w:lang w:val="zh-CN" w:eastAsia="zh-CN"/>
    </w:rPr>
  </w:style>
  <w:style w:type="character" w:customStyle="1" w:styleId="48">
    <w:name w:val="Body text|5 + 5 pt"/>
    <w:basedOn w:val="17"/>
    <w:semiHidden/>
    <w:qFormat/>
    <w:uiPriority w:val="99"/>
    <w:rPr>
      <w:rFonts w:ascii="PMingLiU" w:hAnsi="PMingLiU" w:eastAsia="PMingLiU" w:cs="PMingLiU"/>
      <w:color w:val="000000"/>
      <w:spacing w:val="30"/>
      <w:w w:val="100"/>
      <w:position w:val="0"/>
      <w:sz w:val="10"/>
      <w:szCs w:val="10"/>
      <w:u w:val="none"/>
      <w:lang w:val="zh-CN" w:eastAsia="zh-CN"/>
    </w:rPr>
  </w:style>
  <w:style w:type="character" w:customStyle="1" w:styleId="49">
    <w:name w:val="Body text|5 + Not Bold"/>
    <w:basedOn w:val="17"/>
    <w:semiHidden/>
    <w:qFormat/>
    <w:uiPriority w:val="99"/>
    <w:rPr>
      <w:rFonts w:ascii="PMingLiU" w:hAnsi="PMingLiU" w:eastAsia="PMingLiU" w:cs="PMingLiU"/>
      <w:color w:val="000000"/>
      <w:spacing w:val="0"/>
      <w:w w:val="100"/>
      <w:position w:val="0"/>
      <w:sz w:val="30"/>
      <w:szCs w:val="30"/>
      <w:u w:val="none"/>
      <w:lang w:val="zh-CN" w:eastAsia="zh-CN"/>
    </w:rPr>
  </w:style>
  <w:style w:type="character" w:customStyle="1" w:styleId="50">
    <w:name w:val="Body text|8_"/>
    <w:basedOn w:val="6"/>
    <w:link w:val="51"/>
    <w:qFormat/>
    <w:locked/>
    <w:uiPriority w:val="99"/>
    <w:rPr>
      <w:rFonts w:ascii="PMingLiU" w:hAnsi="PMingLiU" w:eastAsia="PMingLiU" w:cs="PMingLiU"/>
      <w:sz w:val="30"/>
      <w:szCs w:val="30"/>
      <w:u w:val="none"/>
    </w:rPr>
  </w:style>
  <w:style w:type="paragraph" w:customStyle="1" w:styleId="51">
    <w:name w:val="Body text|8"/>
    <w:basedOn w:val="1"/>
    <w:link w:val="50"/>
    <w:qFormat/>
    <w:uiPriority w:val="99"/>
    <w:pPr>
      <w:shd w:val="clear" w:color="auto" w:fill="FFFFFF"/>
      <w:spacing w:line="600" w:lineRule="exact"/>
      <w:ind w:firstLine="720"/>
      <w:jc w:val="distribute"/>
    </w:pPr>
    <w:rPr>
      <w:rFonts w:ascii="PMingLiU" w:hAnsi="PMingLiU" w:eastAsia="PMingLiU" w:cs="PMingLiU"/>
      <w:sz w:val="30"/>
      <w:szCs w:val="30"/>
    </w:rPr>
  </w:style>
  <w:style w:type="character" w:customStyle="1" w:styleId="52">
    <w:name w:val="Body text|2 + 12 pt1"/>
    <w:basedOn w:val="19"/>
    <w:semiHidden/>
    <w:qFormat/>
    <w:uiPriority w:val="99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5821</Words>
  <Characters>6411</Characters>
  <Lines>39</Lines>
  <Paragraphs>11</Paragraphs>
  <TotalTime>3</TotalTime>
  <ScaleCrop>false</ScaleCrop>
  <LinksUpToDate>false</LinksUpToDate>
  <CharactersWithSpaces>6497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2019-03-26T07:34:00Z</dcterms:created>
  <dc:creator>Administrator</dc:creator>
  <cp:lastModifiedBy>石台县广播电视台本级</cp:lastModifiedBy>
  <cp:lastPrinted>2019-02-18T00:59:00Z</cp:lastPrinted>
  <dcterms:modified xsi:type="dcterms:W3CDTF">2022-08-31T08:15:32Z</dcterms:modified>
  <dc:title>石台县广播电视台2019年部门预算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453354A09DC84CB0915638191F332405</vt:lpwstr>
  </property>
</Properties>
</file>