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STZhongsong" w:hAnsi="STZhongsong" w:eastAsia="STZhongsong"/>
          <w:b/>
          <w:sz w:val="44"/>
          <w:szCs w:val="44"/>
        </w:rPr>
      </w:pPr>
      <w:r>
        <w:rPr>
          <w:rFonts w:hint="eastAsia" w:ascii="STZhongsong" w:hAnsi="STZhongsong" w:eastAsia="STZhongsong"/>
          <w:b/>
          <w:sz w:val="44"/>
          <w:szCs w:val="44"/>
        </w:rPr>
        <w:t>老干部服务中心202</w:t>
      </w:r>
      <w:r>
        <w:rPr>
          <w:rFonts w:ascii="STZhongsong" w:hAnsi="STZhongsong" w:eastAsia="STZhongsong"/>
          <w:b/>
          <w:sz w:val="44"/>
          <w:szCs w:val="44"/>
        </w:rPr>
        <w:t>2</w:t>
      </w:r>
      <w:r>
        <w:rPr>
          <w:rFonts w:hint="eastAsia" w:ascii="STZhongsong" w:hAnsi="STZhongsong" w:eastAsia="STZhongsong"/>
          <w:b/>
          <w:sz w:val="44"/>
          <w:szCs w:val="44"/>
        </w:rPr>
        <w:t>年“三公”经费预算</w:t>
      </w:r>
    </w:p>
    <w:p>
      <w:pPr>
        <w:rPr>
          <w:rFonts w:ascii="宋体" w:hAnsi="宋体"/>
          <w:sz w:val="6"/>
          <w:szCs w:val="32"/>
        </w:rPr>
      </w:pPr>
    </w:p>
    <w:p>
      <w:pPr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一、202</w:t>
      </w:r>
      <w:r>
        <w:rPr>
          <w:rFonts w:ascii="黑体" w:hAnsi="黑体" w:eastAsia="黑体"/>
          <w:sz w:val="32"/>
          <w:szCs w:val="32"/>
        </w:rPr>
        <w:t>2</w:t>
      </w:r>
      <w:r>
        <w:rPr>
          <w:rFonts w:hint="eastAsia" w:ascii="黑体" w:hAnsi="黑体" w:eastAsia="黑体"/>
          <w:sz w:val="32"/>
          <w:szCs w:val="32"/>
        </w:rPr>
        <w:t>年“三公”经费支出预算表</w:t>
      </w:r>
    </w:p>
    <w:p>
      <w:pPr>
        <w:adjustRightInd w:val="0"/>
        <w:snapToGrid w:val="0"/>
        <w:spacing w:line="360" w:lineRule="auto"/>
        <w:ind w:firstLine="411" w:firstLineChars="196"/>
        <w:jc w:val="right"/>
        <w:rPr>
          <w:rStyle w:val="9"/>
          <w:rFonts w:ascii="宋体" w:hAnsi="宋体"/>
          <w:b w:val="0"/>
          <w:bCs w:val="0"/>
          <w:szCs w:val="21"/>
        </w:rPr>
      </w:pPr>
      <w:r>
        <w:rPr>
          <w:rStyle w:val="9"/>
          <w:rFonts w:hint="eastAsia" w:ascii="宋体" w:hAnsi="宋体"/>
          <w:b w:val="0"/>
          <w:bCs w:val="0"/>
          <w:szCs w:val="21"/>
        </w:rPr>
        <w:t>单位：万元</w:t>
      </w:r>
    </w:p>
    <w:tbl>
      <w:tblPr>
        <w:tblStyle w:val="7"/>
        <w:tblW w:w="852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5"/>
        <w:gridCol w:w="4377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项  目</w:t>
            </w:r>
          </w:p>
        </w:tc>
        <w:tc>
          <w:tcPr>
            <w:tcW w:w="43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预 算 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1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合  计</w:t>
            </w:r>
          </w:p>
        </w:tc>
        <w:tc>
          <w:tcPr>
            <w:tcW w:w="43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1771" w:firstLineChars="735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4.00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1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因公出国（境）费</w:t>
            </w:r>
          </w:p>
        </w:tc>
        <w:tc>
          <w:tcPr>
            <w:tcW w:w="43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1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公务接待费</w:t>
            </w:r>
          </w:p>
        </w:tc>
        <w:tc>
          <w:tcPr>
            <w:tcW w:w="43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4.00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1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公务用车购置及运行费</w:t>
            </w:r>
          </w:p>
        </w:tc>
        <w:tc>
          <w:tcPr>
            <w:tcW w:w="43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1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其中：公务用车运行费</w:t>
            </w:r>
          </w:p>
        </w:tc>
        <w:tc>
          <w:tcPr>
            <w:tcW w:w="43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1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公务用车购置费</w:t>
            </w:r>
          </w:p>
        </w:tc>
        <w:tc>
          <w:tcPr>
            <w:tcW w:w="43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FF0000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0</w:t>
            </w:r>
          </w:p>
        </w:tc>
      </w:tr>
    </w:tbl>
    <w:p>
      <w:pPr>
        <w:spacing w:line="580" w:lineRule="exact"/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二、202</w:t>
      </w:r>
      <w:r>
        <w:rPr>
          <w:rFonts w:ascii="黑体" w:hAnsi="黑体" w:eastAsia="黑体"/>
          <w:sz w:val="32"/>
          <w:szCs w:val="32"/>
        </w:rPr>
        <w:t>2</w:t>
      </w:r>
      <w:r>
        <w:rPr>
          <w:rFonts w:hint="eastAsia" w:ascii="黑体" w:hAnsi="黑体" w:eastAsia="黑体"/>
          <w:sz w:val="32"/>
          <w:szCs w:val="32"/>
        </w:rPr>
        <w:t>年“三公”经费支出预算情况说明</w:t>
      </w:r>
    </w:p>
    <w:p>
      <w:pPr>
        <w:adjustRightInd w:val="0"/>
        <w:snapToGrid w:val="0"/>
        <w:spacing w:line="58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石台县老干部服务中心202</w:t>
      </w:r>
      <w:r>
        <w:rPr>
          <w:rFonts w:ascii="仿宋_GB2312" w:hAnsi="仿宋" w:eastAsia="仿宋_GB2312"/>
          <w:sz w:val="32"/>
          <w:szCs w:val="32"/>
        </w:rPr>
        <w:t>2</w:t>
      </w:r>
      <w:r>
        <w:rPr>
          <w:rFonts w:hint="eastAsia" w:ascii="仿宋_GB2312" w:hAnsi="仿宋" w:eastAsia="仿宋_GB2312"/>
          <w:sz w:val="32"/>
          <w:szCs w:val="32"/>
        </w:rPr>
        <w:t>年度“三公</w:t>
      </w:r>
      <w:r>
        <w:rPr>
          <w:rFonts w:hint="eastAsia" w:ascii="仿宋_GB2312" w:hAnsi="黑体" w:eastAsia="仿宋_GB2312"/>
          <w:sz w:val="32"/>
          <w:szCs w:val="32"/>
        </w:rPr>
        <w:t>”</w:t>
      </w:r>
      <w:r>
        <w:rPr>
          <w:rFonts w:hint="eastAsia" w:ascii="仿宋_GB2312" w:hAnsi="仿宋" w:eastAsia="仿宋_GB2312"/>
          <w:sz w:val="32"/>
          <w:szCs w:val="32"/>
        </w:rPr>
        <w:t>经费支出预算为4.00万元，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与</w:t>
      </w:r>
      <w:r>
        <w:rPr>
          <w:rFonts w:hint="eastAsia" w:ascii="仿宋_GB2312" w:hAnsi="仿宋" w:eastAsia="仿宋_GB2312"/>
          <w:sz w:val="32"/>
          <w:szCs w:val="32"/>
        </w:rPr>
        <w:t>202</w:t>
      </w:r>
      <w:r>
        <w:rPr>
          <w:rFonts w:ascii="仿宋_GB2312" w:hAnsi="仿宋" w:eastAsia="仿宋_GB2312"/>
          <w:sz w:val="32"/>
          <w:szCs w:val="32"/>
        </w:rPr>
        <w:t>1</w:t>
      </w:r>
      <w:r>
        <w:rPr>
          <w:rFonts w:hint="eastAsia" w:ascii="仿宋_GB2312" w:hAnsi="仿宋" w:eastAsia="仿宋_GB2312"/>
          <w:sz w:val="32"/>
          <w:szCs w:val="32"/>
        </w:rPr>
        <w:t>年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持平</w:t>
      </w:r>
      <w:r>
        <w:rPr>
          <w:rFonts w:hint="eastAsia" w:ascii="仿宋_GB2312" w:hAnsi="仿宋" w:eastAsia="仿宋_GB2312"/>
          <w:sz w:val="32"/>
          <w:szCs w:val="32"/>
        </w:rPr>
        <w:t>。其中：因公出国（境）费支出预算为</w:t>
      </w:r>
      <w:r>
        <w:rPr>
          <w:rFonts w:ascii="仿宋_GB2312" w:hAnsi="仿宋" w:eastAsia="仿宋_GB2312"/>
          <w:sz w:val="32"/>
          <w:szCs w:val="32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万元，公务接待费支出预算为4.00万元，公务用车购置及运行费支出预算为</w:t>
      </w:r>
      <w:r>
        <w:rPr>
          <w:rFonts w:ascii="仿宋_GB2312" w:hAnsi="仿宋" w:eastAsia="仿宋_GB2312"/>
          <w:sz w:val="32"/>
          <w:szCs w:val="32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>万元。具体情况如下：</w:t>
      </w:r>
    </w:p>
    <w:p>
      <w:pPr>
        <w:pStyle w:val="6"/>
        <w:numPr>
          <w:ilvl w:val="0"/>
          <w:numId w:val="1"/>
        </w:numPr>
        <w:adjustRightInd w:val="0"/>
        <w:snapToGrid w:val="0"/>
        <w:spacing w:before="0" w:beforeAutospacing="0" w:after="0" w:afterAutospacing="0" w:line="580" w:lineRule="exact"/>
        <w:ind w:firstLine="643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因公出国（境）费</w:t>
      </w:r>
      <w:r>
        <w:rPr>
          <w:rFonts w:hint="eastAsia" w:ascii="仿宋_GB2312" w:hAnsi="仿宋" w:eastAsia="仿宋_GB2312"/>
          <w:sz w:val="32"/>
          <w:szCs w:val="32"/>
        </w:rPr>
        <w:t>支出</w:t>
      </w:r>
      <w:r>
        <w:rPr>
          <w:rFonts w:ascii="仿宋_GB2312" w:hAnsi="仿宋" w:eastAsia="仿宋_GB2312"/>
          <w:sz w:val="32"/>
          <w:szCs w:val="32"/>
        </w:rPr>
        <w:t>0</w:t>
      </w:r>
      <w:r>
        <w:rPr>
          <w:rFonts w:hint="eastAsia" w:ascii="仿宋_GB2312" w:hAnsi="仿宋" w:eastAsia="仿宋_GB2312"/>
          <w:sz w:val="32"/>
          <w:szCs w:val="32"/>
        </w:rPr>
        <w:t xml:space="preserve">万元, 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与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2021年持平。主要原因是2021、</w:t>
      </w:r>
      <w:r>
        <w:rPr>
          <w:rFonts w:hint="eastAsia" w:ascii="仿宋_GB2312" w:hAnsi="仿宋" w:eastAsia="仿宋_GB2312"/>
          <w:sz w:val="32"/>
          <w:szCs w:val="32"/>
        </w:rPr>
        <w:t>202</w:t>
      </w:r>
      <w:r>
        <w:rPr>
          <w:rFonts w:ascii="仿宋_GB2312" w:hAnsi="仿宋" w:eastAsia="仿宋_GB2312"/>
          <w:sz w:val="32"/>
          <w:szCs w:val="32"/>
        </w:rPr>
        <w:t>2</w:t>
      </w:r>
      <w:r>
        <w:rPr>
          <w:rFonts w:hint="eastAsia" w:ascii="仿宋_GB2312" w:hAnsi="仿宋" w:eastAsia="仿宋_GB2312"/>
          <w:sz w:val="32"/>
          <w:szCs w:val="32"/>
        </w:rPr>
        <w:t>年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均</w:t>
      </w:r>
      <w:r>
        <w:rPr>
          <w:rFonts w:hint="eastAsia" w:ascii="仿宋_GB2312" w:hAnsi="仿宋" w:eastAsia="仿宋_GB2312"/>
          <w:sz w:val="32"/>
          <w:szCs w:val="32"/>
        </w:rPr>
        <w:t>未安排因公出国（境）费。</w:t>
      </w:r>
    </w:p>
    <w:p>
      <w:pPr>
        <w:pStyle w:val="6"/>
        <w:widowControl/>
        <w:shd w:val="clear" w:color="auto" w:fill="FFFFFF"/>
        <w:spacing w:before="0" w:beforeAutospacing="0" w:after="0" w:afterAutospacing="0" w:line="600" w:lineRule="atLeast"/>
        <w:ind w:firstLine="643"/>
        <w:jc w:val="both"/>
        <w:rPr>
          <w:rFonts w:hint="eastAsia" w:ascii="仿宋_GB2312" w:hAnsi="仿宋_GB2312" w:eastAsia="仿宋_GB2312" w:cs="仿宋_GB2312"/>
          <w:color w:val="333333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（二）公务接待费</w:t>
      </w:r>
      <w:r>
        <w:rPr>
          <w:rFonts w:hint="eastAsia" w:ascii="仿宋_GB2312" w:hAnsi="仿宋" w:eastAsia="仿宋_GB2312"/>
          <w:sz w:val="32"/>
          <w:szCs w:val="32"/>
        </w:rPr>
        <w:t>支出4.00万元，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与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2021年持平</w:t>
      </w:r>
      <w:r>
        <w:rPr>
          <w:rFonts w:hint="eastAsia" w:ascii="仿宋_GB2312" w:hAnsi="仿宋" w:eastAsia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主要原因是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主要原因是认真遵照中央“八项规定”、省委省政府30条要求，控制接待数量、规模及接待标准。经费使用严格执行《党政机关厉行节约反对浪费条例》和《石台县党政机关国内公务接待经费管理暂行办法》（石办发〔2015〕32号）等相关规定,主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z w:val="32"/>
          <w:szCs w:val="32"/>
          <w:shd w:val="clear" w:color="auto" w:fill="FFFFFF"/>
        </w:rPr>
        <w:t>用于公务接待活动支出。</w:t>
      </w:r>
    </w:p>
    <w:p>
      <w:pPr>
        <w:pStyle w:val="6"/>
        <w:adjustRightInd w:val="0"/>
        <w:snapToGrid w:val="0"/>
        <w:spacing w:before="0" w:beforeAutospacing="0" w:after="0" w:afterAutospacing="0" w:line="58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60" w:lineRule="atLeast"/>
        <w:ind w:left="0" w:right="0" w:firstLine="643"/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" w:eastAsia="仿宋_GB2312"/>
          <w:b/>
          <w:sz w:val="32"/>
          <w:szCs w:val="32"/>
        </w:rPr>
        <w:t>（三）公务用车购置及运行费</w:t>
      </w:r>
      <w:r>
        <w:rPr>
          <w:rFonts w:hint="eastAsia" w:ascii="仿宋_GB2312" w:hAnsi="仿宋" w:eastAsia="仿宋_GB2312"/>
          <w:sz w:val="32"/>
          <w:szCs w:val="32"/>
        </w:rPr>
        <w:t>支</w:t>
      </w:r>
      <w:r>
        <w:rPr>
          <w:rFonts w:hint="eastAsia" w:ascii="仿宋_GB2312" w:hAnsi="仿宋_GB2312" w:eastAsia="仿宋_GB2312" w:cs="仿宋_GB2312"/>
          <w:sz w:val="32"/>
          <w:szCs w:val="32"/>
        </w:rPr>
        <w:t>出0万元，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与2021年相比持平。其中：公务用车运行费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万元，与2021年相比持平。公务用车购置费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万元，与2021年相比持平，主要原因是2021、2022年均未安排公务用车购置费用。</w:t>
      </w:r>
    </w:p>
    <w:p>
      <w:pPr>
        <w:pStyle w:val="6"/>
        <w:adjustRightInd w:val="0"/>
        <w:snapToGrid w:val="0"/>
        <w:spacing w:before="0" w:beforeAutospacing="0" w:after="0" w:afterAutospacing="0" w:line="580" w:lineRule="exact"/>
        <w:ind w:firstLine="640" w:firstLineChars="200"/>
        <w:jc w:val="both"/>
        <w:rPr>
          <w:rFonts w:ascii="仿宋_GB2312" w:hAnsi="楷体" w:eastAsia="仿宋_GB2312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TZhongsong">
    <w:altName w:val="宋体"/>
    <w:panose1 w:val="00000000000000000000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right" w:y="1"/>
      <w:rPr>
        <w:rStyle w:val="10"/>
      </w:rPr>
    </w:pPr>
    <w:r>
      <w:fldChar w:fldCharType="begin"/>
    </w:r>
    <w:r>
      <w:rPr>
        <w:rStyle w:val="10"/>
      </w:rPr>
      <w:instrText xml:space="preserve">PAGE  </w:instrText>
    </w:r>
    <w:r>
      <w:fldChar w:fldCharType="separate"/>
    </w:r>
    <w:r>
      <w:rPr>
        <w:rStyle w:val="10"/>
      </w:rPr>
      <w:t>1</w:t>
    </w:r>
    <w:r>
      <w:fldChar w:fldCharType="end"/>
    </w:r>
  </w:p>
  <w:p>
    <w:pPr>
      <w:pStyle w:val="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right" w:y="1"/>
      <w:rPr>
        <w:rStyle w:val="10"/>
      </w:rPr>
    </w:pPr>
    <w:r>
      <w:fldChar w:fldCharType="begin"/>
    </w:r>
    <w:r>
      <w:rPr>
        <w:rStyle w:val="10"/>
      </w:rPr>
      <w:instrText xml:space="preserve">PAGE  </w:instrText>
    </w:r>
    <w:r>
      <w:fldChar w:fldCharType="end"/>
    </w:r>
  </w:p>
  <w:p>
    <w:pPr>
      <w:pStyle w:val="4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4B21D8E"/>
    <w:multiLevelType w:val="singleLevel"/>
    <w:tmpl w:val="B4B21D8E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303"/>
    <w:rsid w:val="000130CE"/>
    <w:rsid w:val="00025DB7"/>
    <w:rsid w:val="0002757D"/>
    <w:rsid w:val="00065859"/>
    <w:rsid w:val="000A3684"/>
    <w:rsid w:val="000D41D8"/>
    <w:rsid w:val="000E1B2E"/>
    <w:rsid w:val="000F06C2"/>
    <w:rsid w:val="00127FCF"/>
    <w:rsid w:val="001762AF"/>
    <w:rsid w:val="001B102E"/>
    <w:rsid w:val="001B1C6D"/>
    <w:rsid w:val="0024544B"/>
    <w:rsid w:val="00250486"/>
    <w:rsid w:val="002541F6"/>
    <w:rsid w:val="0026609D"/>
    <w:rsid w:val="00284149"/>
    <w:rsid w:val="002B4538"/>
    <w:rsid w:val="002B6C8B"/>
    <w:rsid w:val="002D1C05"/>
    <w:rsid w:val="002D5320"/>
    <w:rsid w:val="00362C19"/>
    <w:rsid w:val="0036558B"/>
    <w:rsid w:val="00377C18"/>
    <w:rsid w:val="003A6571"/>
    <w:rsid w:val="003B5C2B"/>
    <w:rsid w:val="003F00BC"/>
    <w:rsid w:val="00421095"/>
    <w:rsid w:val="0042256A"/>
    <w:rsid w:val="0045642A"/>
    <w:rsid w:val="00461D1F"/>
    <w:rsid w:val="00463D6B"/>
    <w:rsid w:val="004B4091"/>
    <w:rsid w:val="005026B4"/>
    <w:rsid w:val="00553F40"/>
    <w:rsid w:val="005669DB"/>
    <w:rsid w:val="0058632A"/>
    <w:rsid w:val="00593699"/>
    <w:rsid w:val="00596209"/>
    <w:rsid w:val="00597526"/>
    <w:rsid w:val="005A111E"/>
    <w:rsid w:val="005D457A"/>
    <w:rsid w:val="00613303"/>
    <w:rsid w:val="006236ED"/>
    <w:rsid w:val="006351D0"/>
    <w:rsid w:val="00652344"/>
    <w:rsid w:val="006636CF"/>
    <w:rsid w:val="00694403"/>
    <w:rsid w:val="006971B8"/>
    <w:rsid w:val="006A15F8"/>
    <w:rsid w:val="006A4576"/>
    <w:rsid w:val="006E7CEE"/>
    <w:rsid w:val="00707719"/>
    <w:rsid w:val="007104B6"/>
    <w:rsid w:val="00722C62"/>
    <w:rsid w:val="00776D3D"/>
    <w:rsid w:val="007800C5"/>
    <w:rsid w:val="00786BE1"/>
    <w:rsid w:val="007872B7"/>
    <w:rsid w:val="007910CD"/>
    <w:rsid w:val="007A66E3"/>
    <w:rsid w:val="007B58DC"/>
    <w:rsid w:val="007C2413"/>
    <w:rsid w:val="007F1805"/>
    <w:rsid w:val="007F4C7F"/>
    <w:rsid w:val="007F4E14"/>
    <w:rsid w:val="00816F09"/>
    <w:rsid w:val="0083559A"/>
    <w:rsid w:val="008701C8"/>
    <w:rsid w:val="00871052"/>
    <w:rsid w:val="008960D6"/>
    <w:rsid w:val="008B18E1"/>
    <w:rsid w:val="008D303D"/>
    <w:rsid w:val="008E2371"/>
    <w:rsid w:val="009015CF"/>
    <w:rsid w:val="00920E85"/>
    <w:rsid w:val="00962696"/>
    <w:rsid w:val="00980765"/>
    <w:rsid w:val="00992C83"/>
    <w:rsid w:val="009C5365"/>
    <w:rsid w:val="009E1B02"/>
    <w:rsid w:val="00A02978"/>
    <w:rsid w:val="00A219EE"/>
    <w:rsid w:val="00A4367B"/>
    <w:rsid w:val="00A81BBC"/>
    <w:rsid w:val="00A87574"/>
    <w:rsid w:val="00A94372"/>
    <w:rsid w:val="00AA7FDC"/>
    <w:rsid w:val="00B30EAE"/>
    <w:rsid w:val="00B35089"/>
    <w:rsid w:val="00B508C0"/>
    <w:rsid w:val="00B80094"/>
    <w:rsid w:val="00BD1A91"/>
    <w:rsid w:val="00C11D41"/>
    <w:rsid w:val="00C33FDA"/>
    <w:rsid w:val="00C34B66"/>
    <w:rsid w:val="00C83F16"/>
    <w:rsid w:val="00C8793A"/>
    <w:rsid w:val="00C92567"/>
    <w:rsid w:val="00CA0D84"/>
    <w:rsid w:val="00CE4F04"/>
    <w:rsid w:val="00D217A1"/>
    <w:rsid w:val="00DA2FE2"/>
    <w:rsid w:val="00DD3646"/>
    <w:rsid w:val="00E05EDA"/>
    <w:rsid w:val="00E065A8"/>
    <w:rsid w:val="00E20A28"/>
    <w:rsid w:val="00E30E1F"/>
    <w:rsid w:val="00E44A11"/>
    <w:rsid w:val="00E465A9"/>
    <w:rsid w:val="00E6116A"/>
    <w:rsid w:val="00E810B0"/>
    <w:rsid w:val="00EA7CCC"/>
    <w:rsid w:val="00EB3D0D"/>
    <w:rsid w:val="00ED6E8F"/>
    <w:rsid w:val="00F0132E"/>
    <w:rsid w:val="00F0257B"/>
    <w:rsid w:val="00F44496"/>
    <w:rsid w:val="00F46C1F"/>
    <w:rsid w:val="00F739E2"/>
    <w:rsid w:val="00FA37EE"/>
    <w:rsid w:val="069D02FA"/>
    <w:rsid w:val="0A112F06"/>
    <w:rsid w:val="0BC5384A"/>
    <w:rsid w:val="119C1CC9"/>
    <w:rsid w:val="26102424"/>
    <w:rsid w:val="36145A8B"/>
    <w:rsid w:val="3FD10109"/>
    <w:rsid w:val="55735087"/>
    <w:rsid w:val="5C1B0A9B"/>
    <w:rsid w:val="627D246A"/>
    <w:rsid w:val="78D43ED5"/>
    <w:rsid w:val="7A6B0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Indent2"/>
    <w:basedOn w:val="1"/>
    <w:qFormat/>
    <w:uiPriority w:val="99"/>
    <w:pPr>
      <w:spacing w:after="120" w:line="480" w:lineRule="auto"/>
      <w:ind w:left="420" w:leftChars="200"/>
    </w:pPr>
    <w:rPr>
      <w:rFonts w:ascii="Times New Roman" w:hAnsi="Times New Roman"/>
      <w:sz w:val="24"/>
    </w:r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  <w:szCs w:val="18"/>
    </w:rPr>
  </w:style>
  <w:style w:type="paragraph" w:styleId="5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</w:rPr>
  </w:style>
  <w:style w:type="paragraph" w:styleId="6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9">
    <w:name w:val="Strong"/>
    <w:qFormat/>
    <w:uiPriority w:val="0"/>
    <w:rPr>
      <w:b/>
      <w:bCs/>
    </w:rPr>
  </w:style>
  <w:style w:type="character" w:styleId="10">
    <w:name w:val="page number"/>
    <w:basedOn w:val="8"/>
    <w:qFormat/>
    <w:uiPriority w:val="0"/>
  </w:style>
  <w:style w:type="character" w:customStyle="1" w:styleId="11">
    <w:name w:val="页眉 字符"/>
    <w:link w:val="5"/>
    <w:semiHidden/>
    <w:qFormat/>
    <w:uiPriority w:val="99"/>
    <w:rPr>
      <w:sz w:val="18"/>
      <w:szCs w:val="18"/>
    </w:rPr>
  </w:style>
  <w:style w:type="character" w:customStyle="1" w:styleId="12">
    <w:name w:val="页脚 字符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67</Words>
  <Characters>387</Characters>
  <Lines>3</Lines>
  <Paragraphs>1</Paragraphs>
  <TotalTime>0</TotalTime>
  <ScaleCrop>false</ScaleCrop>
  <LinksUpToDate>false</LinksUpToDate>
  <CharactersWithSpaces>453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2022-09-20T07:44:00Z</dcterms:created>
  <dc:creator>q</dc:creator>
  <cp:lastModifiedBy>Administrator</cp:lastModifiedBy>
  <cp:lastPrinted>2018-02-01T03:15:00Z</cp:lastPrinted>
  <dcterms:modified xsi:type="dcterms:W3CDTF">2022-09-20T08:52:51Z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