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600" w:lineRule="exact"/>
        <w:ind w:right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0F0F0F"/>
          <w:w w:val="105"/>
          <w:sz w:val="36"/>
          <w:szCs w:val="36"/>
          <w:lang w:eastAsia="zh-CN"/>
        </w:rPr>
      </w:pPr>
    </w:p>
    <w:p>
      <w:pPr>
        <w:pStyle w:val="2"/>
        <w:spacing w:before="8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石台县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直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属机关工作委员会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 xml:space="preserve"> 2022 年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三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季度县级一般公共预算执行情况</w:t>
      </w:r>
    </w:p>
    <w:p>
      <w:pPr>
        <w:pStyle w:val="2"/>
        <w:spacing w:before="8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</w:p>
    <w:p>
      <w:pPr>
        <w:spacing w:before="0"/>
        <w:ind w:right="1276" w:firstLine="672" w:firstLineChars="200"/>
        <w:jc w:val="both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w w:val="105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color w:val="auto"/>
          <w:w w:val="105"/>
          <w:sz w:val="32"/>
          <w:szCs w:val="32"/>
        </w:rPr>
        <w:t>2022年</w:t>
      </w:r>
      <w:r>
        <w:rPr>
          <w:rFonts w:hint="eastAsia" w:ascii="黑体" w:hAnsi="黑体" w:eastAsia="黑体" w:cs="黑体"/>
          <w:color w:val="auto"/>
          <w:w w:val="105"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黑体"/>
          <w:color w:val="auto"/>
          <w:w w:val="105"/>
          <w:sz w:val="32"/>
          <w:szCs w:val="32"/>
        </w:rPr>
        <w:t>季度</w:t>
      </w:r>
      <w:r>
        <w:rPr>
          <w:rFonts w:hint="eastAsia" w:ascii="黑体" w:hAnsi="黑体" w:eastAsia="黑体" w:cs="黑体"/>
          <w:color w:val="auto"/>
          <w:w w:val="105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color w:val="auto"/>
          <w:w w:val="105"/>
          <w:sz w:val="32"/>
          <w:szCs w:val="32"/>
        </w:rPr>
        <w:t>级一般公共预算执行情况表</w:t>
      </w:r>
    </w:p>
    <w:p>
      <w:pPr>
        <w:spacing w:before="137" w:after="23"/>
        <w:ind w:left="0" w:right="633" w:firstLine="0"/>
        <w:jc w:val="right"/>
        <w:rPr>
          <w:color w:val="auto"/>
          <w:sz w:val="20"/>
        </w:rPr>
      </w:pPr>
      <w:r>
        <w:rPr>
          <w:color w:val="auto"/>
          <w:w w:val="95"/>
          <w:sz w:val="20"/>
        </w:rPr>
        <w:t>单位</w:t>
      </w:r>
      <w:r>
        <w:rPr>
          <w:color w:val="auto"/>
          <w:w w:val="80"/>
          <w:sz w:val="20"/>
        </w:rPr>
        <w:t>：</w:t>
      </w:r>
      <w:r>
        <w:rPr>
          <w:color w:val="auto"/>
          <w:w w:val="95"/>
          <w:sz w:val="20"/>
        </w:rPr>
        <w:t>万元</w:t>
      </w:r>
    </w:p>
    <w:tbl>
      <w:tblPr>
        <w:tblStyle w:val="3"/>
        <w:tblW w:w="8689" w:type="dxa"/>
        <w:tblInd w:w="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6"/>
        <w:gridCol w:w="2151"/>
        <w:gridCol w:w="2091"/>
        <w:gridCol w:w="1747"/>
        <w:gridCol w:w="16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1046" w:type="dxa"/>
          </w:tcPr>
          <w:p>
            <w:pPr>
              <w:pStyle w:val="7"/>
              <w:spacing w:before="20" w:line="310" w:lineRule="atLeast"/>
              <w:ind w:left="296" w:right="124" w:hanging="203"/>
              <w:rPr>
                <w:rFonts w:hint="eastAsia" w:ascii="宋体" w:eastAsia="宋体"/>
                <w:color w:val="auto"/>
                <w:sz w:val="20"/>
              </w:rPr>
            </w:pPr>
            <w:r>
              <w:rPr>
                <w:rFonts w:hint="eastAsia" w:ascii="宋体" w:eastAsia="宋体"/>
                <w:color w:val="auto"/>
                <w:sz w:val="20"/>
              </w:rPr>
              <w:t>类级科目</w:t>
            </w:r>
            <w:r>
              <w:rPr>
                <w:rFonts w:hint="eastAsia" w:ascii="宋体" w:eastAsia="宋体"/>
                <w:color w:val="auto"/>
                <w:w w:val="105"/>
                <w:sz w:val="20"/>
              </w:rPr>
              <w:t>代码</w:t>
            </w:r>
          </w:p>
        </w:tc>
        <w:tc>
          <w:tcPr>
            <w:tcW w:w="2151" w:type="dxa"/>
          </w:tcPr>
          <w:p>
            <w:pPr>
              <w:pStyle w:val="7"/>
              <w:spacing w:before="7"/>
              <w:ind w:left="0"/>
              <w:rPr>
                <w:rFonts w:ascii="宋体"/>
                <w:color w:val="auto"/>
                <w:sz w:val="17"/>
              </w:rPr>
            </w:pPr>
          </w:p>
          <w:p>
            <w:pPr>
              <w:pStyle w:val="7"/>
              <w:spacing w:before="0"/>
              <w:ind w:left="591"/>
              <w:rPr>
                <w:rFonts w:hint="eastAsia" w:ascii="宋体" w:eastAsia="宋体"/>
                <w:color w:val="auto"/>
                <w:sz w:val="20"/>
              </w:rPr>
            </w:pPr>
            <w:r>
              <w:rPr>
                <w:rFonts w:hint="eastAsia" w:ascii="宋体" w:eastAsia="宋体"/>
                <w:color w:val="auto"/>
                <w:sz w:val="20"/>
              </w:rPr>
              <w:t>类级科目名称</w:t>
            </w:r>
          </w:p>
        </w:tc>
        <w:tc>
          <w:tcPr>
            <w:tcW w:w="2091" w:type="dxa"/>
          </w:tcPr>
          <w:p>
            <w:pPr>
              <w:pStyle w:val="7"/>
              <w:spacing w:before="4" w:line="318" w:lineRule="exact"/>
              <w:ind w:left="449" w:right="269" w:hanging="105"/>
              <w:rPr>
                <w:rFonts w:hint="eastAsia" w:ascii="宋体" w:eastAsia="宋体"/>
                <w:color w:val="auto"/>
                <w:sz w:val="20"/>
              </w:rPr>
            </w:pPr>
            <w:r>
              <w:rPr>
                <w:rFonts w:hint="eastAsia" w:ascii="宋体" w:eastAsia="宋体"/>
                <w:color w:val="auto"/>
                <w:w w:val="105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auto"/>
                <w:w w:val="105"/>
                <w:sz w:val="20"/>
              </w:rPr>
              <w:t>级一般公共预算安排数</w:t>
            </w:r>
          </w:p>
        </w:tc>
        <w:tc>
          <w:tcPr>
            <w:tcW w:w="1747" w:type="dxa"/>
          </w:tcPr>
          <w:p>
            <w:pPr>
              <w:pStyle w:val="7"/>
              <w:spacing w:before="52"/>
              <w:ind w:right="220"/>
              <w:jc w:val="center"/>
              <w:rPr>
                <w:rFonts w:hint="eastAsia" w:ascii="宋体" w:eastAsia="宋体"/>
                <w:color w:val="auto"/>
                <w:sz w:val="20"/>
              </w:rPr>
            </w:pPr>
            <w:r>
              <w:rPr>
                <w:rFonts w:hint="eastAsia" w:ascii="宋体" w:eastAsia="宋体"/>
                <w:color w:val="auto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auto"/>
                <w:sz w:val="20"/>
              </w:rPr>
              <w:t>级一般公共</w:t>
            </w:r>
          </w:p>
          <w:p>
            <w:pPr>
              <w:pStyle w:val="7"/>
              <w:spacing w:before="60"/>
              <w:ind w:left="283" w:right="220"/>
              <w:jc w:val="center"/>
              <w:rPr>
                <w:rFonts w:hint="eastAsia" w:ascii="宋体" w:eastAsia="宋体"/>
                <w:color w:val="auto"/>
                <w:sz w:val="20"/>
              </w:rPr>
            </w:pPr>
            <w:r>
              <w:rPr>
                <w:rFonts w:hint="eastAsia" w:ascii="宋体" w:eastAsia="宋体"/>
                <w:color w:val="auto"/>
                <w:w w:val="105"/>
                <w:sz w:val="20"/>
              </w:rPr>
              <w:t>预算执行数</w:t>
            </w:r>
          </w:p>
        </w:tc>
        <w:tc>
          <w:tcPr>
            <w:tcW w:w="1654" w:type="dxa"/>
          </w:tcPr>
          <w:p>
            <w:pPr>
              <w:pStyle w:val="7"/>
              <w:spacing w:before="11"/>
              <w:ind w:left="0"/>
              <w:rPr>
                <w:rFonts w:ascii="宋体"/>
                <w:color w:val="auto"/>
                <w:sz w:val="15"/>
              </w:rPr>
            </w:pPr>
          </w:p>
          <w:p>
            <w:pPr>
              <w:pStyle w:val="7"/>
              <w:spacing w:before="0"/>
              <w:ind w:left="229"/>
              <w:rPr>
                <w:rFonts w:hint="eastAsia" w:ascii="宋体" w:eastAsia="宋体"/>
                <w:color w:val="auto"/>
                <w:sz w:val="20"/>
              </w:rPr>
            </w:pPr>
            <w:r>
              <w:rPr>
                <w:rFonts w:hint="eastAsia" w:ascii="宋体" w:eastAsia="宋体"/>
                <w:color w:val="auto"/>
                <w:sz w:val="20"/>
              </w:rPr>
              <w:t>预算执行进度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1"/>
              <w:ind w:left="349"/>
              <w:rPr>
                <w:color w:val="auto"/>
                <w:sz w:val="21"/>
              </w:rPr>
            </w:pPr>
            <w:r>
              <w:rPr>
                <w:color w:val="auto"/>
                <w:w w:val="105"/>
                <w:sz w:val="21"/>
              </w:rPr>
              <w:t>201</w:t>
            </w:r>
          </w:p>
        </w:tc>
        <w:tc>
          <w:tcPr>
            <w:tcW w:w="2151" w:type="dxa"/>
          </w:tcPr>
          <w:p>
            <w:pPr>
              <w:pStyle w:val="7"/>
              <w:spacing w:before="167"/>
              <w:ind w:left="140"/>
              <w:rPr>
                <w:rFonts w:hint="eastAsia" w:ascii="宋体" w:eastAsia="宋体"/>
                <w:color w:val="auto"/>
                <w:sz w:val="20"/>
              </w:rPr>
            </w:pPr>
            <w:r>
              <w:rPr>
                <w:rFonts w:hint="eastAsia" w:ascii="宋体" w:eastAsia="宋体"/>
                <w:color w:val="auto"/>
                <w:w w:val="105"/>
                <w:sz w:val="20"/>
              </w:rPr>
              <w:t>一般公共服务支出</w:t>
            </w:r>
          </w:p>
        </w:tc>
        <w:tc>
          <w:tcPr>
            <w:tcW w:w="2091" w:type="dxa"/>
          </w:tcPr>
          <w:p>
            <w:pPr>
              <w:pStyle w:val="7"/>
              <w:spacing w:before="164"/>
              <w:ind w:left="622" w:right="561"/>
              <w:jc w:val="center"/>
              <w:rPr>
                <w:rFonts w:hint="default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62.69</w:t>
            </w:r>
          </w:p>
        </w:tc>
        <w:tc>
          <w:tcPr>
            <w:tcW w:w="1747" w:type="dxa"/>
          </w:tcPr>
          <w:p>
            <w:pPr>
              <w:pStyle w:val="7"/>
              <w:spacing w:before="156"/>
              <w:ind w:right="213"/>
              <w:jc w:val="center"/>
              <w:rPr>
                <w:rFonts w:hint="default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50.52</w:t>
            </w:r>
          </w:p>
        </w:tc>
        <w:tc>
          <w:tcPr>
            <w:tcW w:w="1654" w:type="dxa"/>
          </w:tcPr>
          <w:p>
            <w:pPr>
              <w:pStyle w:val="7"/>
              <w:ind w:left="548"/>
              <w:rPr>
                <w:rFonts w:hint="default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81%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8"/>
              <w:ind w:left="356"/>
              <w:rPr>
                <w:color w:val="auto"/>
                <w:sz w:val="21"/>
              </w:rPr>
            </w:pPr>
            <w:r>
              <w:rPr>
                <w:color w:val="auto"/>
                <w:sz w:val="21"/>
              </w:rPr>
              <w:t>208</w:t>
            </w:r>
          </w:p>
        </w:tc>
        <w:tc>
          <w:tcPr>
            <w:tcW w:w="2151" w:type="dxa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color w:val="auto"/>
                <w:sz w:val="20"/>
              </w:rPr>
            </w:pPr>
            <w:r>
              <w:rPr>
                <w:rFonts w:hint="eastAsia" w:ascii="宋体" w:eastAsia="宋体"/>
                <w:color w:val="auto"/>
                <w:w w:val="105"/>
                <w:sz w:val="20"/>
              </w:rPr>
              <w:t>社会保障和就业支出</w:t>
            </w:r>
          </w:p>
        </w:tc>
        <w:tc>
          <w:tcPr>
            <w:tcW w:w="2091" w:type="dxa"/>
          </w:tcPr>
          <w:p>
            <w:pPr>
              <w:pStyle w:val="7"/>
              <w:spacing w:before="164"/>
              <w:ind w:left="616" w:right="561"/>
              <w:jc w:val="center"/>
              <w:rPr>
                <w:rFonts w:hint="default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18.45</w:t>
            </w:r>
          </w:p>
        </w:tc>
        <w:tc>
          <w:tcPr>
            <w:tcW w:w="1747" w:type="dxa"/>
          </w:tcPr>
          <w:p>
            <w:pPr>
              <w:pStyle w:val="7"/>
              <w:spacing w:before="149"/>
              <w:ind w:right="205"/>
              <w:jc w:val="center"/>
              <w:rPr>
                <w:rFonts w:hint="default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13.48</w:t>
            </w:r>
          </w:p>
        </w:tc>
        <w:tc>
          <w:tcPr>
            <w:tcW w:w="1654" w:type="dxa"/>
          </w:tcPr>
          <w:p>
            <w:pPr>
              <w:pStyle w:val="7"/>
              <w:ind w:left="592"/>
              <w:rPr>
                <w:color w:val="auto"/>
                <w:sz w:val="21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73</w:t>
            </w:r>
            <w:r>
              <w:rPr>
                <w:color w:val="auto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1"/>
              <w:ind w:left="356"/>
              <w:rPr>
                <w:color w:val="auto"/>
                <w:sz w:val="21"/>
              </w:rPr>
            </w:pPr>
            <w:r>
              <w:rPr>
                <w:color w:val="auto"/>
                <w:sz w:val="21"/>
              </w:rPr>
              <w:t>210</w:t>
            </w:r>
          </w:p>
        </w:tc>
        <w:tc>
          <w:tcPr>
            <w:tcW w:w="2151" w:type="dxa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color w:val="auto"/>
                <w:sz w:val="20"/>
              </w:rPr>
            </w:pPr>
            <w:r>
              <w:rPr>
                <w:rFonts w:hint="eastAsia" w:ascii="宋体" w:eastAsia="宋体"/>
                <w:color w:val="auto"/>
                <w:sz w:val="20"/>
              </w:rPr>
              <w:t>卫生健康支出</w:t>
            </w:r>
          </w:p>
        </w:tc>
        <w:tc>
          <w:tcPr>
            <w:tcW w:w="2091" w:type="dxa"/>
          </w:tcPr>
          <w:p>
            <w:pPr>
              <w:pStyle w:val="7"/>
              <w:spacing w:before="156"/>
              <w:ind w:left="708" w:firstLine="210" w:firstLineChars="100"/>
              <w:rPr>
                <w:rFonts w:hint="default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2.82</w:t>
            </w:r>
          </w:p>
        </w:tc>
        <w:tc>
          <w:tcPr>
            <w:tcW w:w="1747" w:type="dxa"/>
          </w:tcPr>
          <w:p>
            <w:pPr>
              <w:pStyle w:val="7"/>
              <w:spacing w:before="149"/>
              <w:ind w:right="207"/>
              <w:jc w:val="center"/>
              <w:rPr>
                <w:rFonts w:hint="default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2.41</w:t>
            </w:r>
          </w:p>
        </w:tc>
        <w:tc>
          <w:tcPr>
            <w:tcW w:w="1654" w:type="dxa"/>
          </w:tcPr>
          <w:p>
            <w:pPr>
              <w:pStyle w:val="7"/>
              <w:ind w:left="589" w:right="526"/>
              <w:jc w:val="center"/>
              <w:rPr>
                <w:color w:val="auto"/>
                <w:sz w:val="21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86</w:t>
            </w:r>
            <w:r>
              <w:rPr>
                <w:color w:val="auto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64"/>
              <w:ind w:left="356"/>
              <w:rPr>
                <w:rFonts w:hint="eastAsia" w:eastAsia="宋体"/>
                <w:color w:val="auto"/>
                <w:sz w:val="21"/>
                <w:lang w:val="en-US" w:eastAsia="zh-CN"/>
              </w:rPr>
            </w:pPr>
            <w:r>
              <w:rPr>
                <w:color w:val="auto"/>
                <w:sz w:val="21"/>
              </w:rPr>
              <w:t>21</w:t>
            </w: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3</w:t>
            </w:r>
          </w:p>
        </w:tc>
        <w:tc>
          <w:tcPr>
            <w:tcW w:w="2151" w:type="dxa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color w:val="auto"/>
                <w:sz w:val="20"/>
                <w:lang w:eastAsia="zh-CN"/>
              </w:rPr>
            </w:pPr>
            <w:r>
              <w:rPr>
                <w:rFonts w:hint="eastAsia" w:ascii="宋体" w:eastAsia="宋体"/>
                <w:color w:val="auto"/>
                <w:sz w:val="20"/>
                <w:lang w:eastAsia="zh-CN"/>
              </w:rPr>
              <w:t>农林水支出</w:t>
            </w:r>
          </w:p>
        </w:tc>
        <w:tc>
          <w:tcPr>
            <w:tcW w:w="2091" w:type="dxa"/>
          </w:tcPr>
          <w:p>
            <w:pPr>
              <w:pStyle w:val="7"/>
              <w:spacing w:before="149"/>
              <w:ind w:left="622" w:right="557"/>
              <w:jc w:val="center"/>
              <w:rPr>
                <w:rFonts w:hint="default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1.80</w:t>
            </w:r>
          </w:p>
        </w:tc>
        <w:tc>
          <w:tcPr>
            <w:tcW w:w="1747" w:type="dxa"/>
          </w:tcPr>
          <w:p>
            <w:pPr>
              <w:pStyle w:val="7"/>
              <w:spacing w:before="149"/>
              <w:ind w:left="275" w:right="220"/>
              <w:jc w:val="center"/>
              <w:rPr>
                <w:rFonts w:hint="default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1.37</w:t>
            </w:r>
          </w:p>
        </w:tc>
        <w:tc>
          <w:tcPr>
            <w:tcW w:w="1654" w:type="dxa"/>
          </w:tcPr>
          <w:p>
            <w:pPr>
              <w:pStyle w:val="7"/>
              <w:spacing w:before="135"/>
              <w:ind w:left="590"/>
              <w:rPr>
                <w:color w:val="auto"/>
                <w:sz w:val="21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76</w:t>
            </w:r>
            <w:r>
              <w:rPr>
                <w:color w:val="auto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1"/>
              <w:ind w:left="356"/>
              <w:rPr>
                <w:color w:val="auto"/>
                <w:sz w:val="21"/>
              </w:rPr>
            </w:pPr>
            <w:r>
              <w:rPr>
                <w:color w:val="auto"/>
                <w:sz w:val="21"/>
              </w:rPr>
              <w:t>221</w:t>
            </w:r>
          </w:p>
        </w:tc>
        <w:tc>
          <w:tcPr>
            <w:tcW w:w="2151" w:type="dxa"/>
          </w:tcPr>
          <w:p>
            <w:pPr>
              <w:pStyle w:val="7"/>
              <w:spacing w:before="153"/>
              <w:ind w:left="144"/>
              <w:rPr>
                <w:rFonts w:hint="eastAsia" w:ascii="宋体" w:eastAsia="宋体"/>
                <w:color w:val="auto"/>
                <w:sz w:val="20"/>
              </w:rPr>
            </w:pPr>
            <w:r>
              <w:rPr>
                <w:rFonts w:hint="eastAsia" w:ascii="宋体" w:eastAsia="宋体"/>
                <w:color w:val="auto"/>
                <w:w w:val="105"/>
                <w:sz w:val="20"/>
              </w:rPr>
              <w:t>住房保障支出</w:t>
            </w:r>
          </w:p>
        </w:tc>
        <w:tc>
          <w:tcPr>
            <w:tcW w:w="2091" w:type="dxa"/>
          </w:tcPr>
          <w:p>
            <w:pPr>
              <w:pStyle w:val="7"/>
              <w:spacing w:before="156"/>
              <w:ind w:left="715" w:firstLine="210" w:firstLineChars="100"/>
              <w:rPr>
                <w:rFonts w:hint="default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7.46</w:t>
            </w:r>
          </w:p>
        </w:tc>
        <w:tc>
          <w:tcPr>
            <w:tcW w:w="1747" w:type="dxa"/>
          </w:tcPr>
          <w:p>
            <w:pPr>
              <w:pStyle w:val="7"/>
              <w:ind w:left="648"/>
              <w:rPr>
                <w:rFonts w:hint="default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6.20</w:t>
            </w:r>
          </w:p>
        </w:tc>
        <w:tc>
          <w:tcPr>
            <w:tcW w:w="1654" w:type="dxa"/>
          </w:tcPr>
          <w:p>
            <w:pPr>
              <w:pStyle w:val="7"/>
              <w:spacing w:before="135"/>
              <w:ind w:left="587"/>
              <w:rPr>
                <w:color w:val="auto"/>
                <w:sz w:val="21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83</w:t>
            </w:r>
            <w:r>
              <w:rPr>
                <w:color w:val="auto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vAlign w:val="top"/>
          </w:tcPr>
          <w:p>
            <w:pPr>
              <w:pStyle w:val="7"/>
              <w:spacing w:before="160"/>
              <w:ind w:left="308" w:leftChars="0" w:right="0" w:rightChars="0"/>
              <w:rPr>
                <w:rFonts w:hint="eastAsia" w:ascii="宋体" w:eastAsia="宋体"/>
                <w:color w:val="auto"/>
                <w:w w:val="105"/>
                <w:sz w:val="20"/>
              </w:rPr>
            </w:pPr>
            <w:r>
              <w:rPr>
                <w:rFonts w:hint="eastAsia" w:ascii="宋体" w:eastAsia="宋体"/>
                <w:color w:val="auto"/>
                <w:w w:val="105"/>
                <w:sz w:val="20"/>
              </w:rPr>
              <w:t>合计</w:t>
            </w:r>
          </w:p>
        </w:tc>
        <w:tc>
          <w:tcPr>
            <w:tcW w:w="2151" w:type="dxa"/>
            <w:vAlign w:val="top"/>
          </w:tcPr>
          <w:p>
            <w:pPr>
              <w:pStyle w:val="7"/>
              <w:spacing w:before="0"/>
              <w:ind w:left="0" w:leftChars="0" w:right="0" w:rightChars="0"/>
              <w:rPr>
                <w:color w:val="auto"/>
                <w:sz w:val="24"/>
              </w:rPr>
            </w:pPr>
          </w:p>
        </w:tc>
        <w:tc>
          <w:tcPr>
            <w:tcW w:w="2091" w:type="dxa"/>
            <w:vAlign w:val="top"/>
          </w:tcPr>
          <w:p>
            <w:pPr>
              <w:pStyle w:val="7"/>
              <w:spacing w:before="149"/>
              <w:ind w:left="622" w:leftChars="0" w:right="560" w:rightChars="0"/>
              <w:jc w:val="center"/>
              <w:rPr>
                <w:rFonts w:hint="default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 xml:space="preserve"> 93.22</w:t>
            </w:r>
          </w:p>
        </w:tc>
        <w:tc>
          <w:tcPr>
            <w:tcW w:w="1747" w:type="dxa"/>
            <w:vAlign w:val="top"/>
          </w:tcPr>
          <w:p>
            <w:pPr>
              <w:pStyle w:val="7"/>
              <w:ind w:left="287" w:leftChars="0" w:right="194" w:rightChars="0"/>
              <w:jc w:val="center"/>
              <w:rPr>
                <w:rFonts w:hint="default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73.98</w:t>
            </w:r>
          </w:p>
        </w:tc>
        <w:tc>
          <w:tcPr>
            <w:tcW w:w="1654" w:type="dxa"/>
            <w:vAlign w:val="top"/>
          </w:tcPr>
          <w:p>
            <w:pPr>
              <w:pStyle w:val="7"/>
              <w:spacing w:before="135"/>
              <w:ind w:left="604" w:leftChars="0" w:right="0" w:rightChars="0"/>
              <w:rPr>
                <w:rFonts w:hint="eastAsia" w:eastAsia="宋体"/>
                <w:color w:val="auto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1"/>
                <w:lang w:val="en-US" w:eastAsia="zh-CN"/>
              </w:rPr>
              <w:t>79</w:t>
            </w:r>
            <w:r>
              <w:rPr>
                <w:color w:val="auto"/>
                <w:sz w:val="21"/>
              </w:rPr>
              <w:t>%</w:t>
            </w:r>
          </w:p>
        </w:tc>
      </w:tr>
    </w:tbl>
    <w:p>
      <w:pPr>
        <w:pStyle w:val="2"/>
        <w:rPr>
          <w:rFonts w:hint="eastAsia" w:ascii="黑体" w:hAnsi="黑体" w:eastAsia="黑体" w:cs="黑体"/>
          <w:color w:val="auto"/>
          <w:sz w:val="32"/>
          <w:szCs w:val="32"/>
        </w:rPr>
      </w:pPr>
    </w:p>
    <w:p>
      <w:pPr>
        <w:pStyle w:val="2"/>
        <w:ind w:firstLine="640" w:firstLineChars="200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二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2022年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季度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级一般公共预算执行情况说明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石台县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属机关工作委员会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2022年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级一般公共预算安排数为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93.22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截至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季度末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级一般公共预算执行数为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73.98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预算执行进度为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79%，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预算执行进度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超过序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进度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4%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主要是培训和会议集中召开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sectPr>
      <w:type w:val="continuous"/>
      <w:pgSz w:w="11900" w:h="16820"/>
      <w:pgMar w:top="1600" w:right="120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ZkMGJjMmE5M2RmYjNlMjk5OTQzOWU0Yzk0NTY5YzgifQ=="/>
  </w:docVars>
  <w:rsids>
    <w:rsidRoot w:val="00000000"/>
    <w:rsid w:val="09D03B56"/>
    <w:rsid w:val="0B5775D6"/>
    <w:rsid w:val="141F0F5C"/>
    <w:rsid w:val="15120675"/>
    <w:rsid w:val="19BA7910"/>
    <w:rsid w:val="1BA7046E"/>
    <w:rsid w:val="211C2557"/>
    <w:rsid w:val="27634072"/>
    <w:rsid w:val="2C4C4986"/>
    <w:rsid w:val="2CD3423B"/>
    <w:rsid w:val="2DCD0C3B"/>
    <w:rsid w:val="2DEE0D3C"/>
    <w:rsid w:val="2F994DA8"/>
    <w:rsid w:val="3DA2751D"/>
    <w:rsid w:val="3E725142"/>
    <w:rsid w:val="683F2121"/>
    <w:rsid w:val="6F927FE2"/>
    <w:rsid w:val="70633130"/>
    <w:rsid w:val="738B2624"/>
    <w:rsid w:val="7B703D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9"/>
      <w:szCs w:val="29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  <w:pPr>
      <w:spacing w:before="142"/>
      <w:ind w:left="287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263</Words>
  <Characters>350</Characters>
  <TotalTime>7</TotalTime>
  <ScaleCrop>false</ScaleCrop>
  <LinksUpToDate>false</LinksUpToDate>
  <CharactersWithSpaces>353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2022-09-22T00:12:00Z</dcterms:created>
  <dc:creator>Administrator</dc:creator>
  <cp:lastModifiedBy>WPS_1657526274</cp:lastModifiedBy>
  <dcterms:modified xsi:type="dcterms:W3CDTF">2022-11-23T02:06:32Z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7CC13D331E8748F19927C8DCCEEE109F</vt:lpwstr>
  </property>
</Properties>
</file>