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60" w:lineRule="exact"/>
        <w:ind w:left="0" w:leftChars="0" w:right="0" w:rightChars="0"/>
        <w:jc w:val="center"/>
        <w:textAlignment w:val="auto"/>
        <w:outlineLvl w:val="9"/>
        <w:rPr>
          <w:rFonts w:hint="eastAsia" w:ascii="方正小标宋简体" w:hAnsi="方正小标宋简体" w:eastAsia="方正小标宋简体" w:cs="方正小标宋简体"/>
          <w:b w:val="0"/>
          <w:bCs w:val="0"/>
          <w:color w:val="000000"/>
          <w:sz w:val="44"/>
          <w:szCs w:val="44"/>
          <w:lang w:val="en-US" w:eastAsia="zh-CN"/>
        </w:rPr>
      </w:pPr>
      <w:r>
        <w:rPr>
          <w:rFonts w:hint="eastAsia" w:ascii="方正小标宋简体" w:hAnsi="方正小标宋简体" w:eastAsia="方正小标宋简体" w:cs="方正小标宋简体"/>
          <w:b w:val="0"/>
          <w:bCs w:val="0"/>
          <w:color w:val="000000"/>
          <w:sz w:val="44"/>
          <w:szCs w:val="44"/>
          <w:lang w:val="en-US" w:eastAsia="zh-CN"/>
        </w:rPr>
        <w:t>石台县人民政府关于对符合条件的被征地农民社会保障对象实行基本养老保险</w:t>
      </w:r>
    </w:p>
    <w:p>
      <w:pPr>
        <w:keepNext w:val="0"/>
        <w:keepLines w:val="0"/>
        <w:pageBreakBefore w:val="0"/>
        <w:widowControl w:val="0"/>
        <w:kinsoku/>
        <w:wordWrap/>
        <w:overflowPunct/>
        <w:topLinePunct w:val="0"/>
        <w:autoSpaceDE/>
        <w:autoSpaceDN/>
        <w:bidi w:val="0"/>
        <w:adjustRightInd/>
        <w:snapToGrid/>
        <w:spacing w:line="660" w:lineRule="exact"/>
        <w:ind w:left="0" w:leftChars="0" w:right="0" w:rightChars="0"/>
        <w:jc w:val="center"/>
        <w:textAlignment w:val="auto"/>
        <w:outlineLvl w:val="9"/>
        <w:rPr>
          <w:rFonts w:hint="eastAsia" w:ascii="方正小标宋简体" w:hAnsi="方正小标宋简体" w:eastAsia="方正小标宋简体" w:cs="方正小标宋简体"/>
          <w:b w:val="0"/>
          <w:bCs w:val="0"/>
          <w:color w:val="000000"/>
          <w:sz w:val="44"/>
          <w:szCs w:val="44"/>
          <w:lang w:eastAsia="zh-CN"/>
        </w:rPr>
      </w:pPr>
      <w:r>
        <w:rPr>
          <w:rFonts w:hint="eastAsia" w:ascii="方正小标宋简体" w:hAnsi="方正小标宋简体" w:eastAsia="方正小标宋简体" w:cs="方正小标宋简体"/>
          <w:b w:val="0"/>
          <w:bCs w:val="0"/>
          <w:color w:val="000000"/>
          <w:sz w:val="44"/>
          <w:szCs w:val="44"/>
          <w:lang w:val="en-US" w:eastAsia="zh-CN"/>
        </w:rPr>
        <w:t>缴费补贴政策的通知</w:t>
      </w:r>
    </w:p>
    <w:p>
      <w:pPr>
        <w:keepNext w:val="0"/>
        <w:keepLines w:val="0"/>
        <w:pageBreakBefore w:val="0"/>
        <w:widowControl w:val="0"/>
        <w:kinsoku/>
        <w:wordWrap/>
        <w:overflowPunct/>
        <w:topLinePunct w:val="0"/>
        <w:autoSpaceDE/>
        <w:autoSpaceDN/>
        <w:bidi w:val="0"/>
        <w:adjustRightInd/>
        <w:snapToGrid/>
        <w:spacing w:before="313" w:beforeLines="100" w:line="360" w:lineRule="auto"/>
        <w:jc w:val="center"/>
        <w:textAlignment w:val="auto"/>
        <w:rPr>
          <w:rFonts w:hint="eastAsia" w:ascii="楷体_GB2312" w:hAnsi="楷体_GB2312" w:eastAsia="楷体_GB2312" w:cs="楷体_GB2312"/>
          <w:b/>
          <w:bCs/>
          <w:spacing w:val="-4"/>
          <w:sz w:val="32"/>
          <w:szCs w:val="32"/>
          <w:lang w:val="en-US" w:eastAsia="zh-CN"/>
        </w:rPr>
      </w:pPr>
      <w:r>
        <w:rPr>
          <w:rFonts w:hint="eastAsia" w:ascii="楷体_GB2312" w:hAnsi="楷体_GB2312" w:eastAsia="楷体_GB2312" w:cs="楷体_GB2312"/>
          <w:b/>
          <w:bCs/>
          <w:spacing w:val="-4"/>
          <w:sz w:val="32"/>
          <w:szCs w:val="32"/>
          <w:lang w:val="en-US" w:eastAsia="zh-CN"/>
        </w:rPr>
        <w:t>（征求意见稿）</w:t>
      </w:r>
    </w:p>
    <w:p>
      <w:pPr>
        <w:keepNext w:val="0"/>
        <w:keepLines w:val="0"/>
        <w:pageBreakBefore w:val="0"/>
        <w:widowControl w:val="0"/>
        <w:kinsoku/>
        <w:wordWrap/>
        <w:overflowPunct/>
        <w:topLinePunct w:val="0"/>
        <w:autoSpaceDE/>
        <w:autoSpaceDN/>
        <w:bidi w:val="0"/>
        <w:adjustRightInd/>
        <w:spacing w:line="560" w:lineRule="exact"/>
        <w:ind w:firstLine="624" w:firstLineChars="200"/>
        <w:textAlignment w:val="auto"/>
        <w:rPr>
          <w:rFonts w:hint="eastAsia" w:ascii="方正仿宋_GB2312" w:hAnsi="方正仿宋_GB2312" w:eastAsia="方正仿宋_GB2312" w:cs="方正仿宋_GB2312"/>
          <w:spacing w:val="-4"/>
          <w:sz w:val="32"/>
          <w:szCs w:val="32"/>
          <w:lang w:val="en-US" w:eastAsia="zh-CN"/>
        </w:rPr>
      </w:pPr>
    </w:p>
    <w:p>
      <w:pPr>
        <w:keepNext w:val="0"/>
        <w:keepLines w:val="0"/>
        <w:pageBreakBefore w:val="0"/>
        <w:widowControl w:val="0"/>
        <w:kinsoku/>
        <w:wordWrap/>
        <w:overflowPunct/>
        <w:topLinePunct w:val="0"/>
        <w:autoSpaceDE/>
        <w:autoSpaceDN/>
        <w:bidi w:val="0"/>
        <w:adjustRightInd/>
        <w:spacing w:line="600" w:lineRule="exact"/>
        <w:textAlignment w:val="auto"/>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 xml:space="preserve">各乡镇人民政府，县政府各部门、各直属机构： </w:t>
      </w:r>
    </w:p>
    <w:p>
      <w:pPr>
        <w:keepNext w:val="0"/>
        <w:keepLines w:val="0"/>
        <w:pageBreakBefore w:val="0"/>
        <w:widowControl w:val="0"/>
        <w:kinsoku/>
        <w:wordWrap/>
        <w:overflowPunct/>
        <w:topLinePunct w:val="0"/>
        <w:autoSpaceDE/>
        <w:autoSpaceDN/>
        <w:bidi w:val="0"/>
        <w:adjustRightInd/>
        <w:spacing w:line="600" w:lineRule="exact"/>
        <w:ind w:firstLine="624" w:firstLineChars="200"/>
        <w:textAlignment w:val="auto"/>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为切实维护被征地农民社会保障权益，根据《安徽省人民政府关于对符合条件的被征地农民社会保障对象实行基本养老保险缴费补贴政策的通知》（皖政〔2023〕72号）、《池州市人民政府关于对符合条件的被征地农民社会保障对象实行基本养老保险缴费补贴政策的通知》（池政〔2024〕11号）等规定，结合我县实际，就符合条件的被征地农民社会保障对象实行基本养老保险缴费补贴政策（以下简称“缴费补贴”），有关事项通知如下：</w:t>
      </w:r>
    </w:p>
    <w:p>
      <w:pPr>
        <w:keepNext w:val="0"/>
        <w:keepLines w:val="0"/>
        <w:pageBreakBefore w:val="0"/>
        <w:widowControl w:val="0"/>
        <w:kinsoku/>
        <w:wordWrap/>
        <w:overflowPunct/>
        <w:topLinePunct w:val="0"/>
        <w:autoSpaceDE/>
        <w:autoSpaceDN/>
        <w:bidi w:val="0"/>
        <w:adjustRightInd/>
        <w:spacing w:line="600" w:lineRule="exact"/>
        <w:ind w:firstLine="640"/>
        <w:textAlignment w:val="auto"/>
        <w:rPr>
          <w:rFonts w:hint="eastAsia" w:ascii="黑体" w:hAnsi="黑体" w:eastAsia="黑体" w:cs="黑体"/>
          <w:spacing w:val="-4"/>
          <w:sz w:val="32"/>
          <w:szCs w:val="32"/>
          <w:lang w:val="en-US" w:eastAsia="zh-CN"/>
        </w:rPr>
      </w:pPr>
      <w:r>
        <w:rPr>
          <w:rFonts w:hint="eastAsia" w:ascii="黑体" w:hAnsi="黑体" w:eastAsia="黑体" w:cs="黑体"/>
          <w:spacing w:val="-4"/>
          <w:sz w:val="32"/>
          <w:szCs w:val="32"/>
          <w:lang w:val="en-US" w:eastAsia="zh-CN"/>
        </w:rPr>
        <w:t>一、缴费补贴范围和对象</w:t>
      </w:r>
    </w:p>
    <w:p>
      <w:pPr>
        <w:keepNext w:val="0"/>
        <w:keepLines w:val="0"/>
        <w:pageBreakBefore w:val="0"/>
        <w:widowControl w:val="0"/>
        <w:kinsoku/>
        <w:wordWrap/>
        <w:overflowPunct/>
        <w:topLinePunct w:val="0"/>
        <w:autoSpaceDE/>
        <w:autoSpaceDN/>
        <w:bidi w:val="0"/>
        <w:adjustRightInd/>
        <w:spacing w:line="600" w:lineRule="exact"/>
        <w:ind w:firstLine="624" w:firstLineChars="200"/>
        <w:textAlignment w:val="auto"/>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石台县行政辖区内，在依法征收农民集体所有土地时，</w:t>
      </w:r>
      <w:r>
        <w:rPr>
          <w:rFonts w:hint="eastAsia" w:ascii="仿宋_GB2312" w:hAnsi="仿宋_GB2312" w:eastAsia="仿宋_GB2312" w:cs="仿宋_GB2312"/>
          <w:b w:val="0"/>
          <w:i w:val="0"/>
          <w:caps w:val="0"/>
          <w:color w:val="000000"/>
          <w:spacing w:val="0"/>
          <w:w w:val="100"/>
          <w:sz w:val="32"/>
          <w:szCs w:val="32"/>
          <w:lang w:val="en-US" w:eastAsia="zh-CN"/>
        </w:rPr>
        <w:t>将被征地农民</w:t>
      </w:r>
      <w:r>
        <w:rPr>
          <w:rFonts w:hint="eastAsia" w:ascii="仿宋_GB2312" w:hAnsi="仿宋_GB2312" w:eastAsia="仿宋_GB2312" w:cs="仿宋_GB2312"/>
          <w:spacing w:val="-4"/>
          <w:sz w:val="32"/>
          <w:szCs w:val="32"/>
          <w:lang w:val="en-US" w:eastAsia="zh-CN"/>
        </w:rPr>
        <w:t>安置人员中失去全部或大部分土地（户内人均所剩耕地面积不足0.3亩）、且年满16周岁的人员纳入缴费补贴范围（以下简称“补贴对象”）。</w:t>
      </w:r>
    </w:p>
    <w:p>
      <w:pPr>
        <w:keepNext w:val="0"/>
        <w:keepLines w:val="0"/>
        <w:pageBreakBefore w:val="0"/>
        <w:widowControl w:val="0"/>
        <w:kinsoku/>
        <w:wordWrap/>
        <w:overflowPunct/>
        <w:topLinePunct w:val="0"/>
        <w:autoSpaceDE/>
        <w:autoSpaceDN/>
        <w:bidi w:val="0"/>
        <w:adjustRightInd/>
        <w:spacing w:line="600" w:lineRule="exact"/>
        <w:ind w:firstLine="640"/>
        <w:textAlignment w:val="auto"/>
        <w:rPr>
          <w:rFonts w:hint="eastAsia" w:ascii="黑体" w:hAnsi="黑体" w:eastAsia="黑体" w:cs="黑体"/>
          <w:spacing w:val="-4"/>
          <w:sz w:val="32"/>
          <w:szCs w:val="32"/>
          <w:lang w:val="en-US" w:eastAsia="zh-CN"/>
        </w:rPr>
      </w:pPr>
      <w:r>
        <w:rPr>
          <w:rFonts w:hint="eastAsia" w:ascii="黑体" w:hAnsi="黑体" w:eastAsia="黑体" w:cs="黑体"/>
          <w:spacing w:val="-4"/>
          <w:sz w:val="32"/>
          <w:szCs w:val="32"/>
          <w:lang w:val="en-US" w:eastAsia="zh-CN"/>
        </w:rPr>
        <w:t>二、缴费补贴办法</w:t>
      </w:r>
    </w:p>
    <w:p>
      <w:pPr>
        <w:pStyle w:val="19"/>
        <w:keepNext w:val="0"/>
        <w:keepLines w:val="0"/>
        <w:pageBreakBefore w:val="0"/>
        <w:widowControl w:val="0"/>
        <w:numPr>
          <w:ilvl w:val="0"/>
          <w:numId w:val="0"/>
        </w:numPr>
        <w:kinsoku/>
        <w:wordWrap/>
        <w:overflowPunct/>
        <w:topLinePunct w:val="0"/>
        <w:bidi w:val="0"/>
        <w:snapToGrid/>
        <w:spacing w:line="600" w:lineRule="exact"/>
        <w:ind w:firstLine="640" w:firstLineChars="200"/>
        <w:textAlignment w:val="auto"/>
        <w:outlineLvl w:val="9"/>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（一）</w:t>
      </w:r>
      <w:r>
        <w:rPr>
          <w:rFonts w:hint="eastAsia" w:ascii="仿宋_GB2312" w:hAnsi="仿宋_GB2312" w:eastAsia="仿宋_GB2312" w:cs="仿宋_GB2312"/>
          <w:spacing w:val="-4"/>
          <w:kern w:val="2"/>
          <w:sz w:val="32"/>
          <w:szCs w:val="32"/>
          <w:lang w:val="en-US" w:eastAsia="zh-CN" w:bidi="ar-SA"/>
        </w:rPr>
        <w:t>补贴对象参加</w:t>
      </w:r>
      <w:r>
        <w:rPr>
          <w:rFonts w:hint="eastAsia" w:ascii="仿宋_GB2312" w:hAnsi="仿宋_GB2312" w:eastAsia="仿宋_GB2312" w:cs="仿宋_GB2312"/>
          <w:color w:val="000000"/>
          <w:sz w:val="32"/>
          <w:szCs w:val="32"/>
          <w:lang w:val="en-US" w:eastAsia="zh-CN"/>
        </w:rPr>
        <w:t>职工养老保险和城乡居民养老保险的享受同等补贴标准。</w:t>
      </w:r>
      <w:r>
        <w:rPr>
          <w:rFonts w:hint="eastAsia" w:ascii="仿宋_GB2312" w:hAnsi="仿宋_GB2312" w:eastAsia="仿宋_GB2312" w:cs="仿宋_GB2312"/>
          <w:spacing w:val="-4"/>
          <w:sz w:val="32"/>
          <w:szCs w:val="32"/>
          <w:lang w:val="en-US" w:eastAsia="zh-CN"/>
        </w:rPr>
        <w:t>补贴对象不参加基本养老保险的，不享受缴费补贴；待其参加后，再申请享受缴费补贴。</w:t>
      </w:r>
    </w:p>
    <w:p>
      <w:pPr>
        <w:pStyle w:val="19"/>
        <w:keepNext w:val="0"/>
        <w:keepLines w:val="0"/>
        <w:pageBreakBefore w:val="0"/>
        <w:widowControl w:val="0"/>
        <w:numPr>
          <w:ilvl w:val="0"/>
          <w:numId w:val="0"/>
        </w:numPr>
        <w:kinsoku/>
        <w:wordWrap/>
        <w:overflowPunct/>
        <w:topLinePunct w:val="0"/>
        <w:bidi w:val="0"/>
        <w:snapToGrid/>
        <w:spacing w:line="600" w:lineRule="exact"/>
        <w:ind w:firstLine="640" w:firstLineChars="200"/>
        <w:textAlignment w:val="auto"/>
        <w:outlineLvl w:val="9"/>
        <w:rPr>
          <w:rFonts w:hint="eastAsia" w:ascii="仿宋_GB2312" w:hAnsi="仿宋_GB2312" w:eastAsia="仿宋_GB2312" w:cs="仿宋_GB2312"/>
          <w:color w:val="FF0000"/>
          <w:sz w:val="32"/>
          <w:szCs w:val="32"/>
          <w:lang w:val="en-US" w:eastAsia="zh-CN"/>
        </w:rPr>
      </w:pPr>
      <w:r>
        <w:rPr>
          <w:rFonts w:hint="eastAsia" w:ascii="仿宋_GB2312" w:hAnsi="仿宋_GB2312" w:eastAsia="仿宋_GB2312" w:cs="仿宋_GB2312"/>
          <w:color w:val="000000"/>
          <w:sz w:val="32"/>
          <w:szCs w:val="32"/>
          <w:lang w:val="en-US" w:eastAsia="zh-CN"/>
        </w:rPr>
        <w:t>（二）补贴对象享受缴费补贴的标准，按土地被依法征收时全县平均土地区片综合地价补贴。</w:t>
      </w:r>
    </w:p>
    <w:p>
      <w:pPr>
        <w:pStyle w:val="20"/>
        <w:keepNext w:val="0"/>
        <w:keepLines w:val="0"/>
        <w:pageBreakBefore w:val="0"/>
        <w:widowControl w:val="0"/>
        <w:kinsoku/>
        <w:wordWrap/>
        <w:overflowPunct/>
        <w:topLinePunct w:val="0"/>
        <w:bidi w:val="0"/>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lang w:val="en-US" w:eastAsia="zh-CN"/>
        </w:rPr>
        <w:t>（三）</w:t>
      </w:r>
      <w:r>
        <w:rPr>
          <w:rFonts w:hint="eastAsia" w:ascii="仿宋_GB2312" w:hAnsi="仿宋_GB2312" w:eastAsia="仿宋_GB2312" w:cs="仿宋_GB2312"/>
          <w:color w:val="000000"/>
          <w:kern w:val="0"/>
          <w:sz w:val="32"/>
          <w:szCs w:val="32"/>
          <w:lang w:val="en-US" w:eastAsia="zh-CN" w:bidi="ar-SA"/>
        </w:rPr>
        <w:t>补贴对象参加城乡居民养老保险的，在个人正常缴费的基础上给予缴费补贴，补贴金额按15年分期逐年计入个人账户；距离领取城乡居民养老保险待遇年龄不满15年的，分期逐年给予补贴并在其领取待遇时将补贴余额一次性计入其个人账户；已经领取待遇的，自征收土地被依法批准之月起将其补</w:t>
      </w:r>
      <w:r>
        <w:rPr>
          <w:rFonts w:hint="eastAsia" w:ascii="仿宋_GB2312" w:hAnsi="仿宋_GB2312" w:eastAsia="仿宋_GB2312" w:cs="仿宋_GB2312"/>
          <w:sz w:val="32"/>
          <w:szCs w:val="32"/>
        </w:rPr>
        <w:t>贴资金计入个人账户，并重新核算</w:t>
      </w:r>
      <w:r>
        <w:rPr>
          <w:rFonts w:hint="eastAsia" w:ascii="仿宋_GB2312" w:hAnsi="仿宋_GB2312" w:eastAsia="仿宋_GB2312" w:cs="仿宋_GB2312"/>
          <w:sz w:val="32"/>
          <w:szCs w:val="32"/>
          <w:lang w:val="en-US" w:eastAsia="zh-CN"/>
        </w:rPr>
        <w:t>养老</w:t>
      </w:r>
      <w:r>
        <w:rPr>
          <w:rFonts w:hint="eastAsia" w:ascii="仿宋_GB2312" w:hAnsi="仿宋_GB2312" w:eastAsia="仿宋_GB2312" w:cs="仿宋_GB2312"/>
          <w:sz w:val="32"/>
          <w:szCs w:val="32"/>
        </w:rPr>
        <w:t>待遇，从征收土地被依法批准的次月起享受。</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补贴对象参加职工养老保险的，凭缴费凭证</w:t>
      </w:r>
      <w:r>
        <w:rPr>
          <w:rFonts w:hint="eastAsia" w:ascii="仿宋_GB2312" w:hAnsi="仿宋_GB2312" w:eastAsia="仿宋_GB2312" w:cs="仿宋_GB2312"/>
          <w:sz w:val="32"/>
          <w:szCs w:val="32"/>
          <w:lang w:val="en-US" w:eastAsia="zh-CN"/>
        </w:rPr>
        <w:t>按</w:t>
      </w:r>
      <w:r>
        <w:rPr>
          <w:rFonts w:hint="eastAsia" w:ascii="仿宋_GB2312" w:hAnsi="仿宋_GB2312" w:eastAsia="仿宋_GB2312" w:cs="仿宋_GB2312"/>
          <w:sz w:val="32"/>
          <w:szCs w:val="32"/>
        </w:rPr>
        <w:t>15年</w:t>
      </w:r>
      <w:r>
        <w:rPr>
          <w:rFonts w:hint="eastAsia" w:ascii="仿宋_GB2312" w:hAnsi="仿宋_GB2312" w:eastAsia="仿宋_GB2312" w:cs="仿宋_GB2312"/>
          <w:sz w:val="32"/>
          <w:szCs w:val="32"/>
          <w:lang w:val="en-US" w:eastAsia="zh-CN"/>
        </w:rPr>
        <w:t>分期</w:t>
      </w:r>
      <w:r>
        <w:rPr>
          <w:rFonts w:hint="eastAsia" w:ascii="仿宋_GB2312" w:hAnsi="仿宋_GB2312" w:eastAsia="仿宋_GB2312" w:cs="仿宋_GB2312"/>
          <w:sz w:val="32"/>
          <w:szCs w:val="32"/>
        </w:rPr>
        <w:t>逐年将补贴</w:t>
      </w:r>
      <w:r>
        <w:rPr>
          <w:rFonts w:hint="eastAsia" w:ascii="仿宋_GB2312" w:hAnsi="仿宋_GB2312" w:eastAsia="仿宋_GB2312" w:cs="仿宋_GB2312"/>
          <w:sz w:val="32"/>
          <w:szCs w:val="32"/>
          <w:lang w:val="en-US" w:eastAsia="zh-CN"/>
        </w:rPr>
        <w:t>发放</w:t>
      </w:r>
      <w:r>
        <w:rPr>
          <w:rFonts w:hint="eastAsia" w:ascii="仿宋_GB2312" w:hAnsi="仿宋_GB2312" w:eastAsia="仿宋_GB2312" w:cs="仿宋_GB2312"/>
          <w:sz w:val="32"/>
          <w:szCs w:val="32"/>
        </w:rPr>
        <w:t>本人，在其领取职工养老保险待遇时将补贴余额一次性</w:t>
      </w:r>
      <w:r>
        <w:rPr>
          <w:rFonts w:hint="eastAsia" w:ascii="仿宋_GB2312" w:hAnsi="仿宋_GB2312" w:eastAsia="仿宋_GB2312" w:cs="仿宋_GB2312"/>
          <w:sz w:val="32"/>
          <w:szCs w:val="32"/>
          <w:lang w:val="en-US" w:eastAsia="zh-CN"/>
        </w:rPr>
        <w:t>发放</w:t>
      </w:r>
      <w:r>
        <w:rPr>
          <w:rFonts w:hint="eastAsia" w:ascii="仿宋_GB2312" w:hAnsi="仿宋_GB2312" w:eastAsia="仿宋_GB2312" w:cs="仿宋_GB2312"/>
          <w:sz w:val="32"/>
          <w:szCs w:val="32"/>
        </w:rPr>
        <w:t>本人；对已领取职工养老保险待遇的，补贴金额一次性</w:t>
      </w:r>
      <w:r>
        <w:rPr>
          <w:rFonts w:hint="eastAsia" w:ascii="仿宋_GB2312" w:hAnsi="仿宋_GB2312" w:eastAsia="仿宋_GB2312" w:cs="仿宋_GB2312"/>
          <w:sz w:val="32"/>
          <w:szCs w:val="32"/>
          <w:lang w:val="en-US" w:eastAsia="zh-CN"/>
        </w:rPr>
        <w:t>发放</w:t>
      </w:r>
      <w:r>
        <w:rPr>
          <w:rFonts w:hint="eastAsia" w:ascii="仿宋_GB2312" w:hAnsi="仿宋_GB2312" w:eastAsia="仿宋_GB2312" w:cs="仿宋_GB2312"/>
          <w:sz w:val="32"/>
          <w:szCs w:val="32"/>
        </w:rPr>
        <w:t>本人。</w:t>
      </w:r>
    </w:p>
    <w:p>
      <w:pPr>
        <w:pStyle w:val="19"/>
        <w:keepNext w:val="0"/>
        <w:keepLines w:val="0"/>
        <w:pageBreakBefore w:val="0"/>
        <w:widowControl w:val="0"/>
        <w:kinsoku/>
        <w:wordWrap/>
        <w:overflowPunct/>
        <w:topLinePunct w:val="0"/>
        <w:bidi w:val="0"/>
        <w:spacing w:line="600" w:lineRule="exact"/>
        <w:ind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kern w:val="2"/>
          <w:sz w:val="32"/>
          <w:szCs w:val="32"/>
          <w:lang w:val="en-US" w:eastAsia="zh-CN" w:bidi="ar-SA"/>
        </w:rPr>
        <w:t>（四）</w:t>
      </w:r>
      <w:r>
        <w:rPr>
          <w:rFonts w:hint="eastAsia" w:ascii="仿宋_GB2312" w:hAnsi="仿宋_GB2312" w:eastAsia="仿宋_GB2312" w:cs="仿宋_GB2312"/>
          <w:color w:val="000000"/>
          <w:kern w:val="0"/>
          <w:sz w:val="32"/>
          <w:szCs w:val="32"/>
          <w:lang w:val="en-US" w:eastAsia="zh-CN" w:bidi="ar-SA"/>
        </w:rPr>
        <w:t>县人民政府以征地被依法批准之日为基准日，确定具体补贴对象。</w:t>
      </w:r>
    </w:p>
    <w:p>
      <w:pPr>
        <w:keepNext w:val="0"/>
        <w:keepLines w:val="0"/>
        <w:pageBreakBefore w:val="0"/>
        <w:widowControl w:val="0"/>
        <w:kinsoku/>
        <w:wordWrap/>
        <w:overflowPunct/>
        <w:topLinePunct w:val="0"/>
        <w:autoSpaceDE/>
        <w:autoSpaceDN/>
        <w:bidi w:val="0"/>
        <w:adjustRightInd/>
        <w:spacing w:line="600" w:lineRule="exact"/>
        <w:ind w:firstLine="640"/>
        <w:textAlignment w:val="auto"/>
        <w:rPr>
          <w:rFonts w:hint="eastAsia" w:ascii="黑体" w:hAnsi="黑体" w:eastAsia="黑体" w:cs="黑体"/>
          <w:spacing w:val="-4"/>
          <w:sz w:val="32"/>
          <w:szCs w:val="32"/>
          <w:lang w:val="en-US" w:eastAsia="zh-CN"/>
        </w:rPr>
      </w:pPr>
      <w:r>
        <w:rPr>
          <w:rFonts w:hint="eastAsia" w:ascii="黑体" w:hAnsi="黑体" w:eastAsia="黑体" w:cs="黑体"/>
          <w:spacing w:val="-4"/>
          <w:sz w:val="32"/>
          <w:szCs w:val="32"/>
          <w:lang w:val="en-US" w:eastAsia="zh-CN"/>
        </w:rPr>
        <w:t>三、加强社会保障费用筹集和管理</w:t>
      </w:r>
    </w:p>
    <w:p>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color w:val="000000"/>
          <w:sz w:val="32"/>
          <w:szCs w:val="32"/>
          <w:lang w:val="en-US" w:eastAsia="zh-CN"/>
        </w:rPr>
        <w:t>（一）在依法</w:t>
      </w:r>
      <w:r>
        <w:rPr>
          <w:rFonts w:hint="eastAsia" w:ascii="仿宋_GB2312" w:hAnsi="仿宋_GB2312" w:eastAsia="仿宋_GB2312" w:cs="仿宋_GB2312"/>
          <w:spacing w:val="-4"/>
          <w:sz w:val="32"/>
          <w:szCs w:val="32"/>
          <w:lang w:val="en-US" w:eastAsia="zh-CN"/>
        </w:rPr>
        <w:t>征收农民集体所有土地时，应当足额安排被征地农民社会保障费用，计入征地成本，列入工程预算。</w:t>
      </w:r>
    </w:p>
    <w:p>
      <w:pPr>
        <w:pStyle w:val="20"/>
        <w:keepNext w:val="0"/>
        <w:keepLines w:val="0"/>
        <w:pageBreakBefore w:val="0"/>
        <w:widowControl w:val="0"/>
        <w:kinsoku/>
        <w:wordWrap/>
        <w:overflowPunct/>
        <w:topLinePunct w:val="0"/>
        <w:bidi w:val="0"/>
        <w:spacing w:line="600" w:lineRule="exact"/>
        <w:ind w:firstLine="640" w:firstLineChars="200"/>
        <w:textAlignment w:val="auto"/>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color w:val="000000"/>
          <w:sz w:val="32"/>
          <w:szCs w:val="32"/>
          <w:lang w:val="en-US" w:eastAsia="zh-CN"/>
        </w:rPr>
        <w:t>（二）被征地农民社会保障费用筹集</w:t>
      </w:r>
      <w:r>
        <w:rPr>
          <w:rFonts w:hint="eastAsia" w:ascii="仿宋_GB2312" w:hAnsi="仿宋_GB2312" w:eastAsia="仿宋_GB2312" w:cs="仿宋_GB2312"/>
          <w:spacing w:val="-4"/>
          <w:sz w:val="32"/>
          <w:szCs w:val="32"/>
          <w:lang w:val="en-US" w:eastAsia="zh-CN"/>
        </w:rPr>
        <w:t>标准暂按《石台县人民政府办公室关于切实落实被征地农民社会保障资金的通知》（石政办秘〔2023〕3号）文件规定标准执行，结合实际情况适时调整筹集标准。筹集社会保障费用测算公式为：县人民政府确定的被征地农民社会保障费用筹集标准（万元/亩）乘以拟征收农民集体所有土地的面积（亩）</w:t>
      </w:r>
      <w:r>
        <w:rPr>
          <w:rFonts w:hint="eastAsia" w:ascii="仿宋_GB2312" w:hAnsi="仿宋_GB2312" w:eastAsia="仿宋_GB2312" w:cs="仿宋_GB2312"/>
          <w:sz w:val="32"/>
          <w:szCs w:val="32"/>
        </w:rPr>
        <w:t>。</w:t>
      </w:r>
      <w:r>
        <w:rPr>
          <w:rFonts w:hint="eastAsia" w:ascii="仿宋_GB2312" w:hAnsi="仿宋_GB2312" w:eastAsia="仿宋_GB2312" w:cs="仿宋_GB2312"/>
          <w:color w:val="000000"/>
          <w:sz w:val="32"/>
          <w:szCs w:val="32"/>
          <w:lang w:val="en-US" w:eastAsia="zh-CN"/>
        </w:rPr>
        <w:t>筹集的社会</w:t>
      </w:r>
      <w:r>
        <w:rPr>
          <w:rFonts w:hint="eastAsia" w:ascii="仿宋_GB2312" w:hAnsi="仿宋_GB2312" w:eastAsia="仿宋_GB2312" w:cs="仿宋_GB2312"/>
          <w:spacing w:val="-4"/>
          <w:sz w:val="32"/>
          <w:szCs w:val="32"/>
          <w:lang w:val="en-US" w:eastAsia="zh-CN"/>
        </w:rPr>
        <w:t>保障费用，主要用于补贴对象的缴费补贴和原被征地农民社会保障对象的待遇发放，</w:t>
      </w:r>
      <w:r>
        <w:rPr>
          <w:rFonts w:hint="eastAsia" w:ascii="仿宋_GB2312" w:hAnsi="仿宋_GB2312" w:eastAsia="仿宋_GB2312" w:cs="仿宋_GB2312"/>
          <w:sz w:val="32"/>
          <w:szCs w:val="32"/>
        </w:rPr>
        <w:t>筹集资金不足</w:t>
      </w:r>
      <w:r>
        <w:rPr>
          <w:rFonts w:hint="eastAsia" w:ascii="仿宋_GB2312" w:hAnsi="仿宋_GB2312" w:eastAsia="仿宋_GB2312" w:cs="仿宋_GB2312"/>
          <w:sz w:val="32"/>
          <w:szCs w:val="32"/>
          <w:lang w:val="en-US" w:eastAsia="zh-CN"/>
        </w:rPr>
        <w:t>以补贴的，</w:t>
      </w:r>
      <w:r>
        <w:rPr>
          <w:rFonts w:hint="eastAsia" w:ascii="仿宋_GB2312" w:hAnsi="仿宋_GB2312" w:eastAsia="仿宋_GB2312" w:cs="仿宋_GB2312"/>
          <w:sz w:val="32"/>
          <w:szCs w:val="32"/>
        </w:rPr>
        <w:t>由县人民政府解决。</w:t>
      </w:r>
    </w:p>
    <w:p>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（三）县自然资源和规划、财政、人力资源和社会保障部门按照筹集标准，及时足额筹集社会保障费用，并转存入当地预存征地准备金账户。社会保障费用预存不到位的，不得报批征地。</w:t>
      </w:r>
    </w:p>
    <w:p>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color w:val="000000"/>
          <w:sz w:val="32"/>
          <w:szCs w:val="32"/>
          <w:lang w:val="en-US" w:eastAsia="zh-CN"/>
        </w:rPr>
        <w:t>（四）</w:t>
      </w:r>
      <w:r>
        <w:rPr>
          <w:rFonts w:hint="eastAsia" w:ascii="仿宋_GB2312" w:hAnsi="仿宋_GB2312" w:eastAsia="仿宋_GB2312" w:cs="仿宋_GB2312"/>
          <w:spacing w:val="-4"/>
          <w:sz w:val="32"/>
          <w:szCs w:val="32"/>
          <w:lang w:val="en-US" w:eastAsia="zh-CN"/>
        </w:rPr>
        <w:t>征收土地被依法批准后，县财政、自然资源和规划部门要及时将预存的社会保障费用转存本地被征地农民社会保障资金专户，没有转存社会保障费用的，不得实施征地。征地未获批准的，预存的社会保障费用返还预存单位。</w:t>
      </w:r>
    </w:p>
    <w:p>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color w:val="000000"/>
          <w:sz w:val="32"/>
          <w:szCs w:val="32"/>
          <w:lang w:val="en-US" w:eastAsia="zh-CN"/>
        </w:rPr>
        <w:t>（五）</w:t>
      </w:r>
      <w:r>
        <w:rPr>
          <w:rFonts w:hint="eastAsia" w:ascii="仿宋_GB2312" w:hAnsi="仿宋_GB2312" w:eastAsia="仿宋_GB2312" w:cs="仿宋_GB2312"/>
          <w:spacing w:val="-4"/>
          <w:sz w:val="32"/>
          <w:szCs w:val="32"/>
          <w:lang w:val="en-US" w:eastAsia="zh-CN"/>
        </w:rPr>
        <w:t>县人民政府及县财政、县自然资源和规划、县人力资源和社会保障等部门要加强社会保障费用资金监管，实行财政专户、收支两条线管理，做到专款专用。建立并严格落实资金预提、对账等机制，严禁拖欠、挤占、截留、挪用资金。发现资金管理出现问题，要立即整改，并依法依规追究相关责任人的责任。</w:t>
      </w:r>
    </w:p>
    <w:p>
      <w:pPr>
        <w:keepNext w:val="0"/>
        <w:keepLines w:val="0"/>
        <w:pageBreakBefore w:val="0"/>
        <w:widowControl w:val="0"/>
        <w:kinsoku/>
        <w:wordWrap/>
        <w:overflowPunct/>
        <w:topLinePunct w:val="0"/>
        <w:autoSpaceDE/>
        <w:autoSpaceDN/>
        <w:bidi w:val="0"/>
        <w:adjustRightInd/>
        <w:spacing w:line="600" w:lineRule="exact"/>
        <w:ind w:firstLine="640"/>
        <w:textAlignment w:val="auto"/>
        <w:rPr>
          <w:rFonts w:hint="eastAsia" w:ascii="黑体" w:hAnsi="黑体" w:eastAsia="黑体" w:cs="黑体"/>
          <w:spacing w:val="-4"/>
          <w:sz w:val="32"/>
          <w:szCs w:val="32"/>
          <w:lang w:val="en-US" w:eastAsia="zh-CN"/>
        </w:rPr>
      </w:pPr>
      <w:r>
        <w:rPr>
          <w:rFonts w:hint="eastAsia" w:ascii="黑体" w:hAnsi="黑体" w:eastAsia="黑体" w:cs="黑体"/>
          <w:spacing w:val="-4"/>
          <w:sz w:val="32"/>
          <w:szCs w:val="32"/>
          <w:lang w:val="en-US" w:eastAsia="zh-CN"/>
        </w:rPr>
        <w:t>四、新老政策衔接</w:t>
      </w:r>
    </w:p>
    <w:p>
      <w:pPr>
        <w:keepNext w:val="0"/>
        <w:keepLines w:val="0"/>
        <w:pageBreakBefore w:val="0"/>
        <w:widowControl w:val="0"/>
        <w:kinsoku/>
        <w:wordWrap/>
        <w:overflowPunct/>
        <w:topLinePunct w:val="0"/>
        <w:autoSpaceDE/>
        <w:autoSpaceDN/>
        <w:bidi w:val="0"/>
        <w:adjustRightInd/>
        <w:spacing w:line="600" w:lineRule="exact"/>
        <w:ind w:firstLine="640"/>
        <w:textAlignment w:val="auto"/>
        <w:rPr>
          <w:rFonts w:hint="eastAsia" w:ascii="仿宋_GB2312" w:hAnsi="仿宋_GB2312" w:eastAsia="仿宋_GB2312" w:cs="仿宋_GB2312"/>
          <w:spacing w:val="-4"/>
          <w:kern w:val="2"/>
          <w:sz w:val="32"/>
          <w:szCs w:val="32"/>
          <w:lang w:val="en-US" w:eastAsia="zh-CN" w:bidi="ar-SA"/>
        </w:rPr>
      </w:pPr>
      <w:r>
        <w:rPr>
          <w:rFonts w:hint="eastAsia" w:ascii="仿宋_GB2312" w:hAnsi="仿宋_GB2312" w:eastAsia="仿宋_GB2312" w:cs="仿宋_GB2312"/>
          <w:color w:val="000000"/>
          <w:sz w:val="32"/>
          <w:szCs w:val="32"/>
          <w:lang w:val="en-US" w:eastAsia="zh-CN"/>
        </w:rPr>
        <w:t>（一）</w:t>
      </w:r>
      <w:r>
        <w:rPr>
          <w:rFonts w:hint="eastAsia" w:ascii="仿宋_GB2312" w:hAnsi="仿宋_GB2312" w:eastAsia="仿宋_GB2312" w:cs="仿宋_GB2312"/>
          <w:spacing w:val="-4"/>
          <w:kern w:val="2"/>
          <w:sz w:val="32"/>
          <w:szCs w:val="32"/>
          <w:lang w:val="en-US" w:eastAsia="zh-CN" w:bidi="ar-SA"/>
        </w:rPr>
        <w:t>本政策执行前产生的被征地农民社会保障对象，男年满60周岁、女年满55周岁的次月起领取被征地农民社会保障待遇。</w:t>
      </w:r>
    </w:p>
    <w:p>
      <w:pPr>
        <w:keepNext w:val="0"/>
        <w:keepLines w:val="0"/>
        <w:pageBreakBefore w:val="0"/>
        <w:widowControl w:val="0"/>
        <w:kinsoku/>
        <w:wordWrap/>
        <w:overflowPunct/>
        <w:topLinePunct w:val="0"/>
        <w:autoSpaceDE/>
        <w:autoSpaceDN/>
        <w:bidi w:val="0"/>
        <w:adjustRightInd/>
        <w:spacing w:line="600" w:lineRule="exact"/>
        <w:ind w:firstLine="640"/>
        <w:textAlignment w:val="auto"/>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color w:val="000000"/>
          <w:sz w:val="32"/>
          <w:szCs w:val="32"/>
          <w:lang w:val="en-US" w:eastAsia="zh-CN"/>
        </w:rPr>
        <w:t>（二）</w:t>
      </w:r>
      <w:r>
        <w:rPr>
          <w:rFonts w:hint="eastAsia" w:ascii="仿宋_GB2312" w:hAnsi="仿宋_GB2312" w:eastAsia="仿宋_GB2312" w:cs="仿宋_GB2312"/>
          <w:spacing w:val="-4"/>
          <w:sz w:val="32"/>
          <w:szCs w:val="32"/>
          <w:lang w:val="en-US" w:eastAsia="zh-CN"/>
        </w:rPr>
        <w:t>本政策执行前产生的被征地农民社会保障对象，按原政策已享受被征地农民养老待遇的，其承包的土地再次被依法征收时，不再给予缴费补贴；未享受待遇的，其承包的土地再次被依法征收时，按本政策给予缴费补贴。</w:t>
      </w:r>
    </w:p>
    <w:p>
      <w:pPr>
        <w:keepNext w:val="0"/>
        <w:keepLines w:val="0"/>
        <w:pageBreakBefore w:val="0"/>
        <w:widowControl w:val="0"/>
        <w:kinsoku/>
        <w:wordWrap/>
        <w:overflowPunct/>
        <w:topLinePunct w:val="0"/>
        <w:autoSpaceDE/>
        <w:autoSpaceDN/>
        <w:bidi w:val="0"/>
        <w:adjustRightInd/>
        <w:spacing w:line="600" w:lineRule="exact"/>
        <w:ind w:firstLine="640"/>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（三）</w:t>
      </w:r>
      <w:r>
        <w:rPr>
          <w:rFonts w:hint="eastAsia" w:ascii="仿宋_GB2312" w:hAnsi="仿宋_GB2312" w:eastAsia="仿宋_GB2312" w:cs="仿宋_GB2312"/>
          <w:spacing w:val="-4"/>
          <w:sz w:val="32"/>
          <w:szCs w:val="32"/>
          <w:lang w:val="en-US" w:eastAsia="zh-CN"/>
        </w:rPr>
        <w:t>根据经济发展情况，适时调整待遇水平。本</w:t>
      </w:r>
      <w:r>
        <w:rPr>
          <w:rFonts w:hint="eastAsia" w:ascii="仿宋_GB2312" w:hAnsi="仿宋_GB2312" w:eastAsia="仿宋_GB2312" w:cs="仿宋_GB2312"/>
          <w:spacing w:val="-4"/>
          <w:kern w:val="2"/>
          <w:sz w:val="32"/>
          <w:szCs w:val="32"/>
          <w:lang w:val="en-US" w:eastAsia="zh-CN" w:bidi="ar-SA"/>
        </w:rPr>
        <w:t>政策执行前制定的被征地农民基础养老金发放标准，自2024年1月1日起调整到每人每月300元</w:t>
      </w:r>
      <w:r>
        <w:rPr>
          <w:rFonts w:hint="eastAsia" w:ascii="仿宋_GB2312" w:hAnsi="仿宋_GB2312" w:eastAsia="仿宋_GB2312" w:cs="仿宋_GB2312"/>
          <w:color w:val="000000"/>
          <w:sz w:val="32"/>
          <w:szCs w:val="32"/>
          <w:lang w:val="en-US" w:eastAsia="zh-CN"/>
        </w:rPr>
        <w:t>。</w:t>
      </w:r>
    </w:p>
    <w:p>
      <w:pPr>
        <w:keepNext w:val="0"/>
        <w:keepLines w:val="0"/>
        <w:pageBreakBefore w:val="0"/>
        <w:widowControl w:val="0"/>
        <w:kinsoku/>
        <w:wordWrap/>
        <w:overflowPunct/>
        <w:topLinePunct w:val="0"/>
        <w:autoSpaceDE/>
        <w:autoSpaceDN/>
        <w:bidi w:val="0"/>
        <w:adjustRightInd/>
        <w:spacing w:line="600" w:lineRule="exact"/>
        <w:ind w:firstLine="640"/>
        <w:textAlignment w:val="auto"/>
        <w:rPr>
          <w:rFonts w:hint="eastAsia" w:ascii="黑体" w:hAnsi="黑体" w:eastAsia="黑体" w:cs="黑体"/>
          <w:spacing w:val="-4"/>
          <w:sz w:val="32"/>
          <w:szCs w:val="32"/>
          <w:lang w:val="en-US" w:eastAsia="zh-CN"/>
        </w:rPr>
      </w:pPr>
      <w:r>
        <w:rPr>
          <w:rFonts w:hint="eastAsia" w:ascii="黑体" w:hAnsi="黑体" w:eastAsia="黑体" w:cs="黑体"/>
          <w:spacing w:val="-4"/>
          <w:sz w:val="32"/>
          <w:szCs w:val="32"/>
          <w:lang w:val="en-US" w:eastAsia="zh-CN"/>
        </w:rPr>
        <w:t>五、有关职责规定</w:t>
      </w:r>
    </w:p>
    <w:p>
      <w:pPr>
        <w:keepNext w:val="0"/>
        <w:keepLines w:val="0"/>
        <w:pageBreakBefore w:val="0"/>
        <w:widowControl w:val="0"/>
        <w:kinsoku/>
        <w:wordWrap/>
        <w:overflowPunct/>
        <w:topLinePunct w:val="0"/>
        <w:autoSpaceDE/>
        <w:autoSpaceDN/>
        <w:bidi w:val="0"/>
        <w:adjustRightInd/>
        <w:spacing w:line="600" w:lineRule="exact"/>
        <w:ind w:firstLine="640"/>
        <w:textAlignment w:val="auto"/>
        <w:rPr>
          <w:rFonts w:hint="eastAsia" w:ascii="仿宋_GB2312" w:hAnsi="仿宋_GB2312" w:eastAsia="仿宋_GB2312" w:cs="仿宋_GB2312"/>
          <w:spacing w:val="-4"/>
          <w:kern w:val="2"/>
          <w:sz w:val="32"/>
          <w:szCs w:val="32"/>
          <w:lang w:val="en-US" w:eastAsia="zh-CN" w:bidi="ar-SA"/>
        </w:rPr>
      </w:pPr>
      <w:r>
        <w:rPr>
          <w:rFonts w:hint="eastAsia" w:ascii="仿宋_GB2312" w:hAnsi="仿宋_GB2312" w:eastAsia="仿宋_GB2312" w:cs="仿宋_GB2312"/>
          <w:spacing w:val="-4"/>
          <w:kern w:val="2"/>
          <w:sz w:val="32"/>
          <w:szCs w:val="32"/>
          <w:lang w:val="en-US" w:eastAsia="zh-CN" w:bidi="ar-SA"/>
        </w:rPr>
        <w:t>（一）县人力资源和社会保障局负责缴费补贴政策的宣传解读，并做好补贴对象补贴资金的记账和待遇发放等工作。</w:t>
      </w:r>
    </w:p>
    <w:p>
      <w:pPr>
        <w:keepNext w:val="0"/>
        <w:keepLines w:val="0"/>
        <w:pageBreakBefore w:val="0"/>
        <w:widowControl w:val="0"/>
        <w:kinsoku/>
        <w:wordWrap/>
        <w:overflowPunct/>
        <w:topLinePunct w:val="0"/>
        <w:autoSpaceDE/>
        <w:autoSpaceDN/>
        <w:bidi w:val="0"/>
        <w:adjustRightInd/>
        <w:spacing w:line="600" w:lineRule="exact"/>
        <w:ind w:firstLine="640"/>
        <w:textAlignment w:val="auto"/>
        <w:rPr>
          <w:rFonts w:hint="eastAsia" w:ascii="仿宋_GB2312" w:hAnsi="仿宋_GB2312" w:eastAsia="仿宋_GB2312" w:cs="仿宋_GB2312"/>
          <w:spacing w:val="-4"/>
          <w:kern w:val="2"/>
          <w:sz w:val="32"/>
          <w:szCs w:val="32"/>
          <w:lang w:val="en-US" w:eastAsia="zh-CN" w:bidi="ar-SA"/>
        </w:rPr>
      </w:pPr>
      <w:r>
        <w:rPr>
          <w:rFonts w:hint="eastAsia" w:ascii="仿宋_GB2312" w:hAnsi="仿宋_GB2312" w:eastAsia="仿宋_GB2312" w:cs="仿宋_GB2312"/>
          <w:spacing w:val="-4"/>
          <w:kern w:val="2"/>
          <w:sz w:val="32"/>
          <w:szCs w:val="32"/>
          <w:lang w:val="en-US" w:eastAsia="zh-CN" w:bidi="ar-SA"/>
        </w:rPr>
        <w:t>（二）县自然资源和规划局负责用地项目及项目土地征收（征用）面积审核认定和被征地农民社会保障对象经批准征收耕地情况的确认。</w:t>
      </w:r>
    </w:p>
    <w:p>
      <w:pPr>
        <w:keepNext w:val="0"/>
        <w:keepLines w:val="0"/>
        <w:pageBreakBefore w:val="0"/>
        <w:widowControl w:val="0"/>
        <w:kinsoku/>
        <w:wordWrap/>
        <w:overflowPunct/>
        <w:topLinePunct w:val="0"/>
        <w:autoSpaceDE/>
        <w:autoSpaceDN/>
        <w:bidi w:val="0"/>
        <w:adjustRightInd/>
        <w:spacing w:line="600" w:lineRule="exact"/>
        <w:ind w:firstLine="640"/>
        <w:textAlignment w:val="auto"/>
        <w:rPr>
          <w:rFonts w:hint="eastAsia" w:ascii="仿宋_GB2312" w:hAnsi="仿宋_GB2312" w:eastAsia="仿宋_GB2312" w:cs="仿宋_GB2312"/>
          <w:spacing w:val="-4"/>
          <w:kern w:val="2"/>
          <w:sz w:val="32"/>
          <w:szCs w:val="32"/>
          <w:lang w:val="en-US" w:eastAsia="zh-CN" w:bidi="ar-SA"/>
        </w:rPr>
      </w:pPr>
      <w:r>
        <w:rPr>
          <w:rFonts w:hint="eastAsia" w:ascii="仿宋_GB2312" w:hAnsi="仿宋_GB2312" w:eastAsia="仿宋_GB2312" w:cs="仿宋_GB2312"/>
          <w:spacing w:val="-4"/>
          <w:kern w:val="2"/>
          <w:sz w:val="32"/>
          <w:szCs w:val="32"/>
          <w:lang w:val="en-US" w:eastAsia="zh-CN" w:bidi="ar-SA"/>
        </w:rPr>
        <w:t>（三）县财政局负责落实原被征地农民社会保障对象的待遇发放资金。</w:t>
      </w:r>
    </w:p>
    <w:p>
      <w:pPr>
        <w:keepNext w:val="0"/>
        <w:keepLines w:val="0"/>
        <w:pageBreakBefore w:val="0"/>
        <w:widowControl w:val="0"/>
        <w:kinsoku/>
        <w:wordWrap/>
        <w:overflowPunct/>
        <w:topLinePunct w:val="0"/>
        <w:autoSpaceDE/>
        <w:autoSpaceDN/>
        <w:bidi w:val="0"/>
        <w:adjustRightInd/>
        <w:spacing w:line="600" w:lineRule="exact"/>
        <w:ind w:firstLine="640"/>
        <w:textAlignment w:val="auto"/>
        <w:rPr>
          <w:rFonts w:hint="eastAsia" w:ascii="仿宋_GB2312" w:hAnsi="仿宋_GB2312" w:eastAsia="仿宋_GB2312" w:cs="仿宋_GB2312"/>
          <w:spacing w:val="-4"/>
          <w:kern w:val="2"/>
          <w:sz w:val="32"/>
          <w:szCs w:val="32"/>
          <w:lang w:val="en-US" w:eastAsia="zh-CN" w:bidi="ar-SA"/>
        </w:rPr>
      </w:pPr>
      <w:r>
        <w:rPr>
          <w:rFonts w:hint="eastAsia" w:ascii="仿宋_GB2312" w:hAnsi="仿宋_GB2312" w:eastAsia="仿宋_GB2312" w:cs="仿宋_GB2312"/>
          <w:spacing w:val="-4"/>
          <w:kern w:val="2"/>
          <w:sz w:val="32"/>
          <w:szCs w:val="32"/>
          <w:lang w:val="en-US" w:eastAsia="zh-CN" w:bidi="ar-SA"/>
        </w:rPr>
        <w:t>（四）县农业农村局负责被征地农民承包经营权、补贴对象和户内人均所剩耕地面积不足0.3亩情况的确认。</w:t>
      </w:r>
    </w:p>
    <w:p>
      <w:pPr>
        <w:keepNext w:val="0"/>
        <w:keepLines w:val="0"/>
        <w:pageBreakBefore w:val="0"/>
        <w:widowControl w:val="0"/>
        <w:kinsoku/>
        <w:wordWrap/>
        <w:overflowPunct/>
        <w:topLinePunct w:val="0"/>
        <w:autoSpaceDE/>
        <w:autoSpaceDN/>
        <w:bidi w:val="0"/>
        <w:adjustRightInd/>
        <w:spacing w:line="600" w:lineRule="exact"/>
        <w:ind w:firstLine="640"/>
        <w:textAlignment w:val="auto"/>
        <w:rPr>
          <w:rFonts w:hint="eastAsia" w:ascii="仿宋_GB2312" w:hAnsi="仿宋_GB2312" w:eastAsia="仿宋_GB2312" w:cs="仿宋_GB2312"/>
          <w:spacing w:val="-4"/>
          <w:kern w:val="2"/>
          <w:sz w:val="32"/>
          <w:szCs w:val="32"/>
          <w:lang w:val="en-US" w:eastAsia="zh-CN" w:bidi="ar-SA"/>
        </w:rPr>
      </w:pPr>
      <w:r>
        <w:rPr>
          <w:rFonts w:hint="eastAsia" w:ascii="仿宋_GB2312" w:hAnsi="仿宋_GB2312" w:eastAsia="仿宋_GB2312" w:cs="仿宋_GB2312"/>
          <w:spacing w:val="-4"/>
          <w:kern w:val="2"/>
          <w:sz w:val="32"/>
          <w:szCs w:val="32"/>
          <w:lang w:val="en-US" w:eastAsia="zh-CN" w:bidi="ar-SA"/>
        </w:rPr>
        <w:t>（五）县公安局负责补贴对象年满16周岁情况的确认。</w:t>
      </w:r>
    </w:p>
    <w:p>
      <w:pPr>
        <w:keepNext w:val="0"/>
        <w:keepLines w:val="0"/>
        <w:pageBreakBefore w:val="0"/>
        <w:widowControl w:val="0"/>
        <w:kinsoku/>
        <w:wordWrap/>
        <w:overflowPunct/>
        <w:topLinePunct w:val="0"/>
        <w:autoSpaceDE/>
        <w:autoSpaceDN/>
        <w:bidi w:val="0"/>
        <w:adjustRightInd/>
        <w:spacing w:line="600" w:lineRule="exact"/>
        <w:ind w:firstLine="640"/>
        <w:textAlignment w:val="auto"/>
        <w:rPr>
          <w:rFonts w:hint="eastAsia" w:ascii="仿宋_GB2312" w:hAnsi="仿宋_GB2312" w:eastAsia="仿宋_GB2312" w:cs="仿宋_GB2312"/>
          <w:spacing w:val="-4"/>
          <w:kern w:val="2"/>
          <w:sz w:val="32"/>
          <w:szCs w:val="32"/>
          <w:lang w:val="en-US" w:eastAsia="zh-CN" w:bidi="ar-SA"/>
        </w:rPr>
      </w:pPr>
      <w:r>
        <w:rPr>
          <w:rFonts w:hint="eastAsia" w:ascii="仿宋_GB2312" w:hAnsi="仿宋_GB2312" w:eastAsia="仿宋_GB2312" w:cs="仿宋_GB2312"/>
          <w:spacing w:val="-4"/>
          <w:kern w:val="2"/>
          <w:sz w:val="32"/>
          <w:szCs w:val="32"/>
          <w:lang w:val="en-US" w:eastAsia="zh-CN" w:bidi="ar-SA"/>
        </w:rPr>
        <w:t>（六）各乡镇人民政府负责组织、指导村（居）民委员会开展被征地农民社会保障工作，对村（居）民委员会上报的相关材料、人员名单等进行审核，提出审核意见，并报县直部门复审。</w:t>
      </w:r>
    </w:p>
    <w:p>
      <w:pPr>
        <w:keepNext w:val="0"/>
        <w:keepLines w:val="0"/>
        <w:pageBreakBefore w:val="0"/>
        <w:widowControl w:val="0"/>
        <w:kinsoku/>
        <w:wordWrap/>
        <w:overflowPunct/>
        <w:topLinePunct w:val="0"/>
        <w:autoSpaceDE/>
        <w:autoSpaceDN/>
        <w:bidi w:val="0"/>
        <w:adjustRightInd/>
        <w:spacing w:line="600" w:lineRule="exact"/>
        <w:ind w:firstLine="640"/>
        <w:textAlignment w:val="auto"/>
        <w:rPr>
          <w:rFonts w:hint="eastAsia" w:ascii="黑体" w:hAnsi="黑体" w:eastAsia="黑体" w:cs="黑体"/>
          <w:spacing w:val="-4"/>
          <w:sz w:val="32"/>
          <w:szCs w:val="32"/>
          <w:lang w:val="en-US" w:eastAsia="zh-CN"/>
        </w:rPr>
      </w:pPr>
      <w:r>
        <w:rPr>
          <w:rFonts w:hint="eastAsia" w:ascii="黑体" w:hAnsi="黑体" w:eastAsia="黑体" w:cs="黑体"/>
          <w:spacing w:val="-4"/>
          <w:sz w:val="32"/>
          <w:szCs w:val="32"/>
          <w:lang w:val="en-US" w:eastAsia="zh-CN"/>
        </w:rPr>
        <w:t>六、有关工作要求</w:t>
      </w:r>
    </w:p>
    <w:p>
      <w:pPr>
        <w:keepNext w:val="0"/>
        <w:keepLines w:val="0"/>
        <w:pageBreakBefore w:val="0"/>
        <w:widowControl w:val="0"/>
        <w:kinsoku/>
        <w:wordWrap/>
        <w:overflowPunct/>
        <w:topLinePunct w:val="0"/>
        <w:bidi w:val="0"/>
        <w:spacing w:line="600" w:lineRule="exact"/>
        <w:ind w:firstLine="627" w:firstLineChars="200"/>
        <w:textAlignment w:val="auto"/>
        <w:rPr>
          <w:rFonts w:hint="eastAsia" w:ascii="仿宋_GB2312" w:hAnsi="仿宋_GB2312" w:eastAsia="仿宋_GB2312" w:cs="仿宋_GB2312"/>
          <w:spacing w:val="-4"/>
          <w:kern w:val="2"/>
          <w:sz w:val="32"/>
          <w:szCs w:val="32"/>
          <w:lang w:val="en-US" w:eastAsia="zh-CN" w:bidi="ar-SA"/>
        </w:rPr>
      </w:pPr>
      <w:r>
        <w:rPr>
          <w:rFonts w:hint="eastAsia" w:ascii="仿宋_GB2312" w:hAnsi="仿宋_GB2312" w:eastAsia="仿宋_GB2312" w:cs="仿宋_GB2312"/>
          <w:b/>
          <w:bCs/>
          <w:spacing w:val="-4"/>
          <w:sz w:val="32"/>
          <w:szCs w:val="32"/>
        </w:rPr>
        <w:t>（一）加强领导，精心组织。</w:t>
      </w:r>
      <w:r>
        <w:rPr>
          <w:rFonts w:hint="eastAsia" w:ascii="仿宋_GB2312" w:hAnsi="仿宋_GB2312" w:eastAsia="仿宋_GB2312" w:cs="仿宋_GB2312"/>
          <w:spacing w:val="-4"/>
          <w:kern w:val="2"/>
          <w:sz w:val="32"/>
          <w:szCs w:val="32"/>
          <w:lang w:val="en-US" w:eastAsia="zh-CN" w:bidi="ar-SA"/>
        </w:rPr>
        <w:t>被征地农民社会保障对象缴费补贴工作政策性强、涉及面广，各乡镇政府、县直各有关部门要高度重视，精心组织，各司其职，各负其责，加强沟通协调，共同做好被征地农民社会保障工作。</w:t>
      </w:r>
    </w:p>
    <w:p>
      <w:pPr>
        <w:keepNext w:val="0"/>
        <w:keepLines w:val="0"/>
        <w:pageBreakBefore w:val="0"/>
        <w:widowControl w:val="0"/>
        <w:kinsoku/>
        <w:wordWrap/>
        <w:overflowPunct/>
        <w:topLinePunct w:val="0"/>
        <w:bidi w:val="0"/>
        <w:spacing w:line="600" w:lineRule="exact"/>
        <w:ind w:firstLine="627" w:firstLineChars="200"/>
        <w:textAlignment w:val="auto"/>
        <w:rPr>
          <w:rFonts w:hint="eastAsia" w:ascii="仿宋_GB2312" w:hAnsi="仿宋_GB2312" w:eastAsia="仿宋_GB2312" w:cs="仿宋_GB2312"/>
          <w:spacing w:val="-4"/>
          <w:kern w:val="2"/>
          <w:sz w:val="32"/>
          <w:szCs w:val="32"/>
          <w:lang w:val="en-US" w:eastAsia="zh-CN" w:bidi="ar-SA"/>
        </w:rPr>
      </w:pPr>
      <w:r>
        <w:rPr>
          <w:rFonts w:hint="eastAsia" w:ascii="仿宋_GB2312" w:hAnsi="仿宋_GB2312" w:eastAsia="仿宋_GB2312" w:cs="仿宋_GB2312"/>
          <w:b/>
          <w:bCs/>
          <w:spacing w:val="-4"/>
          <w:sz w:val="32"/>
          <w:szCs w:val="32"/>
        </w:rPr>
        <w:t>（二）统筹兼顾</w:t>
      </w:r>
      <w:r>
        <w:rPr>
          <w:rFonts w:hint="eastAsia" w:ascii="仿宋_GB2312" w:hAnsi="仿宋_GB2312" w:eastAsia="仿宋_GB2312" w:cs="仿宋_GB2312"/>
          <w:b/>
          <w:bCs/>
          <w:spacing w:val="-11"/>
          <w:sz w:val="32"/>
          <w:szCs w:val="32"/>
        </w:rPr>
        <w:t>，平稳衔接。</w:t>
      </w:r>
      <w:r>
        <w:rPr>
          <w:rFonts w:hint="eastAsia" w:ascii="仿宋_GB2312" w:hAnsi="仿宋_GB2312" w:eastAsia="仿宋_GB2312" w:cs="仿宋_GB2312"/>
          <w:spacing w:val="-4"/>
          <w:kern w:val="2"/>
          <w:sz w:val="32"/>
          <w:szCs w:val="32"/>
          <w:lang w:val="en-US" w:eastAsia="zh-CN" w:bidi="ar-SA"/>
        </w:rPr>
        <w:t>各乡镇政府、县直各有关部门在对符合条件的被征地农民社会保障对象实行基本养老保险缴费补贴政策过程中，要统筹考虑历史遗留问题和征地用地的实际情况，认真研判社会风险，妥善处理好新老政策衔接问题，协调推进，确保顺利实现政策平稳衔接。</w:t>
      </w:r>
    </w:p>
    <w:p>
      <w:pPr>
        <w:keepNext w:val="0"/>
        <w:keepLines w:val="0"/>
        <w:pageBreakBefore w:val="0"/>
        <w:widowControl w:val="0"/>
        <w:kinsoku/>
        <w:wordWrap/>
        <w:overflowPunct/>
        <w:topLinePunct w:val="0"/>
        <w:bidi w:val="0"/>
        <w:spacing w:line="600" w:lineRule="exact"/>
        <w:ind w:firstLine="624" w:firstLineChars="200"/>
        <w:textAlignment w:val="auto"/>
        <w:rPr>
          <w:rFonts w:hint="eastAsia" w:ascii="仿宋_GB2312" w:hAnsi="仿宋_GB2312" w:eastAsia="仿宋_GB2312" w:cs="仿宋_GB2312"/>
          <w:spacing w:val="-4"/>
          <w:kern w:val="2"/>
          <w:sz w:val="32"/>
          <w:szCs w:val="32"/>
          <w:lang w:val="en-US" w:eastAsia="zh-CN" w:bidi="ar-SA"/>
        </w:rPr>
      </w:pPr>
      <w:r>
        <w:rPr>
          <w:rFonts w:hint="eastAsia" w:ascii="仿宋_GB2312" w:hAnsi="仿宋_GB2312" w:eastAsia="仿宋_GB2312" w:cs="仿宋_GB2312"/>
          <w:spacing w:val="-4"/>
          <w:kern w:val="2"/>
          <w:sz w:val="32"/>
          <w:szCs w:val="32"/>
          <w:lang w:val="en-US" w:eastAsia="zh-CN" w:bidi="ar-SA"/>
        </w:rPr>
        <w:t>本政策自2024年1月1日起执行。我县有关被征地农民社会保障政策规定与本政策不一致的，按本政策执行。今后国家、省、市有新的政策规定出台，按国家、省、市政策规定执行。</w:t>
      </w:r>
    </w:p>
    <w:p>
      <w:pPr>
        <w:pStyle w:val="8"/>
        <w:keepNext w:val="0"/>
        <w:keepLines w:val="0"/>
        <w:pageBreakBefore w:val="0"/>
        <w:widowControl w:val="0"/>
        <w:kinsoku/>
        <w:wordWrap/>
        <w:overflowPunct/>
        <w:topLinePunct w:val="0"/>
        <w:autoSpaceDE/>
        <w:autoSpaceDN/>
        <w:bidi w:val="0"/>
        <w:adjustRightInd/>
        <w:spacing w:line="600" w:lineRule="exact"/>
        <w:textAlignment w:val="auto"/>
        <w:rPr>
          <w:rFonts w:hint="eastAsia" w:ascii="仿宋_GB2312" w:hAnsi="仿宋_GB2312" w:eastAsia="仿宋_GB2312" w:cs="仿宋_GB2312"/>
          <w:spacing w:val="-4"/>
          <w:sz w:val="32"/>
          <w:szCs w:val="32"/>
          <w:lang w:val="en-US" w:eastAsia="zh-CN"/>
        </w:rPr>
      </w:pPr>
    </w:p>
    <w:p>
      <w:pPr>
        <w:pStyle w:val="8"/>
        <w:keepNext w:val="0"/>
        <w:keepLines w:val="0"/>
        <w:pageBreakBefore w:val="0"/>
        <w:widowControl w:val="0"/>
        <w:kinsoku/>
        <w:wordWrap/>
        <w:overflowPunct/>
        <w:topLinePunct w:val="0"/>
        <w:autoSpaceDE/>
        <w:autoSpaceDN/>
        <w:bidi w:val="0"/>
        <w:adjustRightInd/>
        <w:spacing w:line="560" w:lineRule="exact"/>
        <w:ind w:firstLine="5616" w:firstLineChars="1800"/>
        <w:textAlignment w:val="auto"/>
        <w:rPr>
          <w:rFonts w:hint="eastAsia" w:ascii="仿宋_GB2312" w:hAnsi="仿宋_GB2312" w:eastAsia="仿宋_GB2312" w:cs="仿宋_GB2312"/>
          <w:spacing w:val="-4"/>
          <w:sz w:val="32"/>
          <w:szCs w:val="32"/>
          <w:lang w:val="en-US" w:eastAsia="zh-CN"/>
        </w:rPr>
      </w:pPr>
    </w:p>
    <w:p>
      <w:pPr>
        <w:keepNext w:val="0"/>
        <w:keepLines w:val="0"/>
        <w:pageBreakBefore w:val="0"/>
        <w:widowControl w:val="0"/>
        <w:kinsoku/>
        <w:wordWrap/>
        <w:overflowPunct/>
        <w:topLinePunct w:val="0"/>
        <w:bidi w:val="0"/>
        <w:spacing w:line="560" w:lineRule="exact"/>
        <w:ind w:firstLine="624" w:firstLineChars="200"/>
        <w:jc w:val="right"/>
        <w:textAlignment w:val="auto"/>
        <w:rPr>
          <w:rFonts w:hint="eastAsia" w:ascii="仿宋_GB2312" w:hAnsi="仿宋_GB2312" w:eastAsia="仿宋_GB2312" w:cs="仿宋_GB2312"/>
          <w:spacing w:val="-4"/>
          <w:kern w:val="2"/>
          <w:sz w:val="32"/>
          <w:szCs w:val="32"/>
          <w:lang w:val="en-US" w:eastAsia="zh-CN" w:bidi="ar-SA"/>
        </w:rPr>
      </w:pPr>
      <w:bookmarkStart w:id="0" w:name="_GoBack"/>
      <w:bookmarkEnd w:id="0"/>
    </w:p>
    <w:sectPr>
      <w:footerReference r:id="rId3" w:type="default"/>
      <w:pgSz w:w="11906" w:h="16838"/>
      <w:pgMar w:top="2098" w:right="1587" w:bottom="209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E552664-DE43-4647-BC76-0C0580B7FF5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书宋_GBK">
    <w:altName w:val="微软雅黑"/>
    <w:panose1 w:val="02000000000000000000"/>
    <w:charset w:val="86"/>
    <w:family w:val="auto"/>
    <w:pitch w:val="default"/>
    <w:sig w:usb0="00000000" w:usb1="00000000" w:usb2="00000000" w:usb3="00000000" w:csb0="00040000" w:csb1="00000000"/>
  </w:font>
  <w:font w:name="CESI黑体-GB2312">
    <w:altName w:val="黑体"/>
    <w:panose1 w:val="02000500000000000000"/>
    <w:charset w:val="86"/>
    <w:family w:val="auto"/>
    <w:pitch w:val="default"/>
    <w:sig w:usb0="00000000" w:usb1="00000000" w:usb2="00000012" w:usb3="00000000" w:csb0="0004000F" w:csb1="00000000"/>
  </w:font>
  <w:font w:name="仿宋_GB2312">
    <w:panose1 w:val="02010609030101010101"/>
    <w:charset w:val="86"/>
    <w:family w:val="modern"/>
    <w:pitch w:val="default"/>
    <w:sig w:usb0="00000001" w:usb1="080E0000" w:usb2="00000000" w:usb3="00000000" w:csb0="00040000" w:csb1="00000000"/>
    <w:embedRegular r:id="rId2" w:fontKey="{19770A2B-3F1E-46B1-BCB4-04123E042077}"/>
  </w:font>
  <w:font w:name="汉仪细圆B5">
    <w:altName w:val="Microsoft JhengHei"/>
    <w:panose1 w:val="02010600000101010101"/>
    <w:charset w:val="88"/>
    <w:family w:val="auto"/>
    <w:pitch w:val="default"/>
    <w:sig w:usb0="00000000" w:usb1="00000000" w:usb2="00000002" w:usb3="00000000" w:csb0="00100000" w:csb1="00000000"/>
  </w:font>
  <w:font w:name="方正小标宋简体">
    <w:panose1 w:val="02000000000000000000"/>
    <w:charset w:val="86"/>
    <w:family w:val="auto"/>
    <w:pitch w:val="default"/>
    <w:sig w:usb0="00000001" w:usb1="08000000" w:usb2="00000000" w:usb3="00000000" w:csb0="00040000" w:csb1="00000000"/>
    <w:embedRegular r:id="rId3" w:fontKey="{F6457BB5-9808-4FA1-B8D1-123196196AD8}"/>
  </w:font>
  <w:font w:name="楷体_GB2312">
    <w:panose1 w:val="02010609030101010101"/>
    <w:charset w:val="86"/>
    <w:family w:val="auto"/>
    <w:pitch w:val="default"/>
    <w:sig w:usb0="00000001" w:usb1="080E0000" w:usb2="00000000" w:usb3="00000000" w:csb0="00040000" w:csb1="00000000"/>
    <w:embedRegular r:id="rId4" w:fontKey="{02EC21B8-A9F7-4435-AA5A-BAE4CC98371D}"/>
  </w:font>
  <w:font w:name="方正仿宋_GB2312">
    <w:panose1 w:val="02000000000000000000"/>
    <w:charset w:val="86"/>
    <w:family w:val="auto"/>
    <w:pitch w:val="default"/>
    <w:sig w:usb0="A00002BF" w:usb1="184F6CFA" w:usb2="00000012" w:usb3="00000000" w:csb0="00040001" w:csb1="00000000"/>
    <w:embedRegular r:id="rId5" w:fontKey="{9C26F342-A78C-4B1E-8C7B-CC511E64959D}"/>
  </w:font>
  <w:font w:name="微软雅黑">
    <w:panose1 w:val="020B0503020204020204"/>
    <w:charset w:val="86"/>
    <w:family w:val="auto"/>
    <w:pitch w:val="default"/>
    <w:sig w:usb0="80000287" w:usb1="2ACF3C50" w:usb2="00000016" w:usb3="00000000" w:csb0="0004001F" w:csb1="00000000"/>
  </w:font>
  <w:font w:name="Microsoft JhengHe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bidi w:val="0"/>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dit="forms"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JkMjA3MDUxYzkwYWNkYjg1MDJiYjIxZTY1YjMzMzEifQ=="/>
  </w:docVars>
  <w:rsids>
    <w:rsidRoot w:val="FC5ECE8D"/>
    <w:rsid w:val="00164C26"/>
    <w:rsid w:val="009C10B6"/>
    <w:rsid w:val="009E70F5"/>
    <w:rsid w:val="00E77898"/>
    <w:rsid w:val="02AD5394"/>
    <w:rsid w:val="03BB1D6C"/>
    <w:rsid w:val="03D814FB"/>
    <w:rsid w:val="040D69D5"/>
    <w:rsid w:val="04186C3B"/>
    <w:rsid w:val="04863896"/>
    <w:rsid w:val="04C36291"/>
    <w:rsid w:val="04D96EE6"/>
    <w:rsid w:val="05CF1D4A"/>
    <w:rsid w:val="05EA2DDC"/>
    <w:rsid w:val="06310D66"/>
    <w:rsid w:val="068D43A1"/>
    <w:rsid w:val="06D0026F"/>
    <w:rsid w:val="06F2019A"/>
    <w:rsid w:val="077B57B4"/>
    <w:rsid w:val="07A229F3"/>
    <w:rsid w:val="07C423D2"/>
    <w:rsid w:val="091A7B2D"/>
    <w:rsid w:val="096D3B08"/>
    <w:rsid w:val="097053A7"/>
    <w:rsid w:val="0A1B3564"/>
    <w:rsid w:val="0A6273E5"/>
    <w:rsid w:val="0A637C9C"/>
    <w:rsid w:val="0AE12727"/>
    <w:rsid w:val="0C22507E"/>
    <w:rsid w:val="0C872B03"/>
    <w:rsid w:val="0DFF0FFD"/>
    <w:rsid w:val="0E2E70AF"/>
    <w:rsid w:val="0F2C643F"/>
    <w:rsid w:val="0F3D5297"/>
    <w:rsid w:val="0FF07438"/>
    <w:rsid w:val="10D8227B"/>
    <w:rsid w:val="11DD1A47"/>
    <w:rsid w:val="120B3D4E"/>
    <w:rsid w:val="121755A8"/>
    <w:rsid w:val="12DD2F11"/>
    <w:rsid w:val="139D3DFC"/>
    <w:rsid w:val="13B01DD4"/>
    <w:rsid w:val="13DF1AA7"/>
    <w:rsid w:val="144A098B"/>
    <w:rsid w:val="144A6C91"/>
    <w:rsid w:val="144D49CA"/>
    <w:rsid w:val="14B24D42"/>
    <w:rsid w:val="15384711"/>
    <w:rsid w:val="15CC3983"/>
    <w:rsid w:val="1671097C"/>
    <w:rsid w:val="179F73E4"/>
    <w:rsid w:val="17D43F61"/>
    <w:rsid w:val="18360E46"/>
    <w:rsid w:val="187E1B12"/>
    <w:rsid w:val="18D07F1B"/>
    <w:rsid w:val="19314B52"/>
    <w:rsid w:val="195C49A7"/>
    <w:rsid w:val="19AA0BC2"/>
    <w:rsid w:val="19CF7EC7"/>
    <w:rsid w:val="1B4E496E"/>
    <w:rsid w:val="1B520DB0"/>
    <w:rsid w:val="1B8A679C"/>
    <w:rsid w:val="1BB53792"/>
    <w:rsid w:val="1C2E6C8E"/>
    <w:rsid w:val="1C6051D5"/>
    <w:rsid w:val="1C6E5776"/>
    <w:rsid w:val="1C737230"/>
    <w:rsid w:val="1C754516"/>
    <w:rsid w:val="1E0E06B7"/>
    <w:rsid w:val="1E2F21C0"/>
    <w:rsid w:val="1E6E5F01"/>
    <w:rsid w:val="1EC05C79"/>
    <w:rsid w:val="1ECA6EAF"/>
    <w:rsid w:val="1EDB4CCE"/>
    <w:rsid w:val="1FBF2BD7"/>
    <w:rsid w:val="200A3A07"/>
    <w:rsid w:val="202C0A43"/>
    <w:rsid w:val="207E4516"/>
    <w:rsid w:val="20B03385"/>
    <w:rsid w:val="210A7A37"/>
    <w:rsid w:val="21110DC5"/>
    <w:rsid w:val="211424A6"/>
    <w:rsid w:val="217952E8"/>
    <w:rsid w:val="21B04A82"/>
    <w:rsid w:val="22680EB9"/>
    <w:rsid w:val="22D42A84"/>
    <w:rsid w:val="23B24AE2"/>
    <w:rsid w:val="23E84012"/>
    <w:rsid w:val="24211873"/>
    <w:rsid w:val="2426102C"/>
    <w:rsid w:val="243F2191"/>
    <w:rsid w:val="24472728"/>
    <w:rsid w:val="250017D3"/>
    <w:rsid w:val="253668B6"/>
    <w:rsid w:val="25403B1B"/>
    <w:rsid w:val="258B0217"/>
    <w:rsid w:val="25A169C9"/>
    <w:rsid w:val="25E136AE"/>
    <w:rsid w:val="263F63D5"/>
    <w:rsid w:val="265C2AE3"/>
    <w:rsid w:val="2668592C"/>
    <w:rsid w:val="26C07516"/>
    <w:rsid w:val="26E50978"/>
    <w:rsid w:val="27225ADA"/>
    <w:rsid w:val="27347067"/>
    <w:rsid w:val="27584C7A"/>
    <w:rsid w:val="27C0451E"/>
    <w:rsid w:val="27C07C30"/>
    <w:rsid w:val="27CC1E5A"/>
    <w:rsid w:val="27FA3C0E"/>
    <w:rsid w:val="27FE2AE4"/>
    <w:rsid w:val="282662C3"/>
    <w:rsid w:val="28A54C15"/>
    <w:rsid w:val="28A74058"/>
    <w:rsid w:val="28EF5E90"/>
    <w:rsid w:val="293E4055"/>
    <w:rsid w:val="295B67F7"/>
    <w:rsid w:val="29A70519"/>
    <w:rsid w:val="29A94291"/>
    <w:rsid w:val="29E15E23"/>
    <w:rsid w:val="2A2520CC"/>
    <w:rsid w:val="2A8146B4"/>
    <w:rsid w:val="2ACF5F79"/>
    <w:rsid w:val="2CB371D5"/>
    <w:rsid w:val="2D256324"/>
    <w:rsid w:val="2D7D7F0E"/>
    <w:rsid w:val="2E6D6114"/>
    <w:rsid w:val="2E8479DA"/>
    <w:rsid w:val="2EAE2349"/>
    <w:rsid w:val="2F5729E1"/>
    <w:rsid w:val="2F776BDF"/>
    <w:rsid w:val="2FB03F14"/>
    <w:rsid w:val="2FCA31B3"/>
    <w:rsid w:val="3007380B"/>
    <w:rsid w:val="30385510"/>
    <w:rsid w:val="307F576D"/>
    <w:rsid w:val="30A56294"/>
    <w:rsid w:val="30BB6413"/>
    <w:rsid w:val="30C47C02"/>
    <w:rsid w:val="30C776F3"/>
    <w:rsid w:val="31065C15"/>
    <w:rsid w:val="31327262"/>
    <w:rsid w:val="31E3301E"/>
    <w:rsid w:val="326F5829"/>
    <w:rsid w:val="3297476F"/>
    <w:rsid w:val="32DD0B47"/>
    <w:rsid w:val="332419C2"/>
    <w:rsid w:val="337D1B59"/>
    <w:rsid w:val="337E4ABE"/>
    <w:rsid w:val="34072922"/>
    <w:rsid w:val="345B087E"/>
    <w:rsid w:val="346D548C"/>
    <w:rsid w:val="347A46DB"/>
    <w:rsid w:val="34E307A2"/>
    <w:rsid w:val="35170C48"/>
    <w:rsid w:val="352670DE"/>
    <w:rsid w:val="35845BB2"/>
    <w:rsid w:val="359F3086"/>
    <w:rsid w:val="35CD3B0F"/>
    <w:rsid w:val="35E804F3"/>
    <w:rsid w:val="35F72828"/>
    <w:rsid w:val="36B6732D"/>
    <w:rsid w:val="36D13079"/>
    <w:rsid w:val="36FF3742"/>
    <w:rsid w:val="372E1735"/>
    <w:rsid w:val="378E6859"/>
    <w:rsid w:val="379F6CD3"/>
    <w:rsid w:val="37F039D3"/>
    <w:rsid w:val="37F92DD8"/>
    <w:rsid w:val="37F955C0"/>
    <w:rsid w:val="382316B2"/>
    <w:rsid w:val="38682940"/>
    <w:rsid w:val="38693632"/>
    <w:rsid w:val="38926838"/>
    <w:rsid w:val="38FB7E2C"/>
    <w:rsid w:val="39B74FBF"/>
    <w:rsid w:val="3A126989"/>
    <w:rsid w:val="3A4B2127"/>
    <w:rsid w:val="3A4D6348"/>
    <w:rsid w:val="3A6D4E67"/>
    <w:rsid w:val="3A865D2F"/>
    <w:rsid w:val="3B3E097B"/>
    <w:rsid w:val="3B87653A"/>
    <w:rsid w:val="3BFBF3A2"/>
    <w:rsid w:val="3C5050C4"/>
    <w:rsid w:val="3C513D92"/>
    <w:rsid w:val="3DA94408"/>
    <w:rsid w:val="3DC47494"/>
    <w:rsid w:val="3DE2392C"/>
    <w:rsid w:val="3DF8538F"/>
    <w:rsid w:val="3EBF9F35"/>
    <w:rsid w:val="3F152C42"/>
    <w:rsid w:val="3F1E7077"/>
    <w:rsid w:val="3F215F4F"/>
    <w:rsid w:val="3F4C6ADA"/>
    <w:rsid w:val="3FAD415A"/>
    <w:rsid w:val="3FAE5D2D"/>
    <w:rsid w:val="3FDA5504"/>
    <w:rsid w:val="3FF95878"/>
    <w:rsid w:val="40420B44"/>
    <w:rsid w:val="4054083F"/>
    <w:rsid w:val="406B622B"/>
    <w:rsid w:val="408E6767"/>
    <w:rsid w:val="40AB493B"/>
    <w:rsid w:val="40FA6487"/>
    <w:rsid w:val="41055DF9"/>
    <w:rsid w:val="418426C5"/>
    <w:rsid w:val="419B49AF"/>
    <w:rsid w:val="41CD3F26"/>
    <w:rsid w:val="42053092"/>
    <w:rsid w:val="42080046"/>
    <w:rsid w:val="424C7A5F"/>
    <w:rsid w:val="425A3F23"/>
    <w:rsid w:val="4266558F"/>
    <w:rsid w:val="426B6130"/>
    <w:rsid w:val="42870A90"/>
    <w:rsid w:val="42B45D29"/>
    <w:rsid w:val="42E457AE"/>
    <w:rsid w:val="42F02E45"/>
    <w:rsid w:val="43AE09CA"/>
    <w:rsid w:val="440D7F56"/>
    <w:rsid w:val="44337F9F"/>
    <w:rsid w:val="44747E37"/>
    <w:rsid w:val="44B80021"/>
    <w:rsid w:val="44D501D8"/>
    <w:rsid w:val="44DE20BF"/>
    <w:rsid w:val="45327C70"/>
    <w:rsid w:val="45592BB7"/>
    <w:rsid w:val="45667082"/>
    <w:rsid w:val="46794B93"/>
    <w:rsid w:val="467F5E66"/>
    <w:rsid w:val="46BA1434"/>
    <w:rsid w:val="46D544C0"/>
    <w:rsid w:val="46DDA455"/>
    <w:rsid w:val="471C7D7D"/>
    <w:rsid w:val="475023F8"/>
    <w:rsid w:val="484418FD"/>
    <w:rsid w:val="48585198"/>
    <w:rsid w:val="48FC3F85"/>
    <w:rsid w:val="490966A2"/>
    <w:rsid w:val="49831FB1"/>
    <w:rsid w:val="49F64E79"/>
    <w:rsid w:val="4A203CA4"/>
    <w:rsid w:val="4A653BD6"/>
    <w:rsid w:val="4A8809CA"/>
    <w:rsid w:val="4A9D5603"/>
    <w:rsid w:val="4AD702A8"/>
    <w:rsid w:val="4B246E03"/>
    <w:rsid w:val="4B25178D"/>
    <w:rsid w:val="4B372A33"/>
    <w:rsid w:val="4B4B6A4C"/>
    <w:rsid w:val="4B5F0958"/>
    <w:rsid w:val="4BAA3181"/>
    <w:rsid w:val="4BBE3774"/>
    <w:rsid w:val="4BF3310E"/>
    <w:rsid w:val="4C2E6654"/>
    <w:rsid w:val="4CB30DFF"/>
    <w:rsid w:val="4CC53CA2"/>
    <w:rsid w:val="4CF34379"/>
    <w:rsid w:val="4CFA09B2"/>
    <w:rsid w:val="4D0619FF"/>
    <w:rsid w:val="4DE8253B"/>
    <w:rsid w:val="4DF250AA"/>
    <w:rsid w:val="4E9E788D"/>
    <w:rsid w:val="4EE334F2"/>
    <w:rsid w:val="4EE82C53"/>
    <w:rsid w:val="4F496DA9"/>
    <w:rsid w:val="4F545534"/>
    <w:rsid w:val="4FAD0334"/>
    <w:rsid w:val="4FBBADAF"/>
    <w:rsid w:val="501469A5"/>
    <w:rsid w:val="509D7732"/>
    <w:rsid w:val="510F7D7E"/>
    <w:rsid w:val="523434A3"/>
    <w:rsid w:val="528C21A4"/>
    <w:rsid w:val="530F6FAB"/>
    <w:rsid w:val="53605111"/>
    <w:rsid w:val="54102DF9"/>
    <w:rsid w:val="549D325E"/>
    <w:rsid w:val="54C42E70"/>
    <w:rsid w:val="54C85664"/>
    <w:rsid w:val="54FF0997"/>
    <w:rsid w:val="555E38D2"/>
    <w:rsid w:val="556B18D5"/>
    <w:rsid w:val="559D7318"/>
    <w:rsid w:val="55A82D9F"/>
    <w:rsid w:val="55E055C2"/>
    <w:rsid w:val="55FC2A88"/>
    <w:rsid w:val="56AA006C"/>
    <w:rsid w:val="56E11317"/>
    <w:rsid w:val="57141BE7"/>
    <w:rsid w:val="575431DF"/>
    <w:rsid w:val="57597363"/>
    <w:rsid w:val="57966FA7"/>
    <w:rsid w:val="57A46DBB"/>
    <w:rsid w:val="57BB331D"/>
    <w:rsid w:val="57CD7E66"/>
    <w:rsid w:val="57FA247C"/>
    <w:rsid w:val="580549EE"/>
    <w:rsid w:val="58DF20B1"/>
    <w:rsid w:val="58F11D17"/>
    <w:rsid w:val="5915074C"/>
    <w:rsid w:val="592D7937"/>
    <w:rsid w:val="59914276"/>
    <w:rsid w:val="5A033D79"/>
    <w:rsid w:val="5A2055FA"/>
    <w:rsid w:val="5A365EE8"/>
    <w:rsid w:val="5B255DAD"/>
    <w:rsid w:val="5B793214"/>
    <w:rsid w:val="5BE32D83"/>
    <w:rsid w:val="5BFE2D91"/>
    <w:rsid w:val="5CEF40C2"/>
    <w:rsid w:val="5D3C099D"/>
    <w:rsid w:val="5D4F6588"/>
    <w:rsid w:val="5E142337"/>
    <w:rsid w:val="5E655CD1"/>
    <w:rsid w:val="5E880E5B"/>
    <w:rsid w:val="5EA66A16"/>
    <w:rsid w:val="5EC92704"/>
    <w:rsid w:val="5F545DE4"/>
    <w:rsid w:val="5F675C28"/>
    <w:rsid w:val="5F7D4833"/>
    <w:rsid w:val="5F990328"/>
    <w:rsid w:val="600D3845"/>
    <w:rsid w:val="6022295E"/>
    <w:rsid w:val="605B738C"/>
    <w:rsid w:val="605E50CE"/>
    <w:rsid w:val="609334A3"/>
    <w:rsid w:val="61785D1C"/>
    <w:rsid w:val="61C84EF5"/>
    <w:rsid w:val="62A638CA"/>
    <w:rsid w:val="62F15D85"/>
    <w:rsid w:val="62FB6C04"/>
    <w:rsid w:val="639064F5"/>
    <w:rsid w:val="63CF7EA0"/>
    <w:rsid w:val="640F4477"/>
    <w:rsid w:val="6444457C"/>
    <w:rsid w:val="64460353"/>
    <w:rsid w:val="64B5388E"/>
    <w:rsid w:val="651B358E"/>
    <w:rsid w:val="652A557F"/>
    <w:rsid w:val="65364FD8"/>
    <w:rsid w:val="6580667D"/>
    <w:rsid w:val="66206E77"/>
    <w:rsid w:val="6655487D"/>
    <w:rsid w:val="668A09CB"/>
    <w:rsid w:val="673FB191"/>
    <w:rsid w:val="678F3DBF"/>
    <w:rsid w:val="689F795F"/>
    <w:rsid w:val="68F00A95"/>
    <w:rsid w:val="691F1C81"/>
    <w:rsid w:val="693A5143"/>
    <w:rsid w:val="69A753F0"/>
    <w:rsid w:val="69E00898"/>
    <w:rsid w:val="6A355B55"/>
    <w:rsid w:val="6A673540"/>
    <w:rsid w:val="6AA4553C"/>
    <w:rsid w:val="6AD519BD"/>
    <w:rsid w:val="6B4F5C2C"/>
    <w:rsid w:val="6B865FF2"/>
    <w:rsid w:val="6BCF16EA"/>
    <w:rsid w:val="6BEF7B8A"/>
    <w:rsid w:val="6BF0198E"/>
    <w:rsid w:val="6BFD1C3F"/>
    <w:rsid w:val="6C1613C7"/>
    <w:rsid w:val="6C6B0957"/>
    <w:rsid w:val="6CC30321"/>
    <w:rsid w:val="6CF04FE0"/>
    <w:rsid w:val="6D1E2C77"/>
    <w:rsid w:val="6D8E55E4"/>
    <w:rsid w:val="6D9957C7"/>
    <w:rsid w:val="6DCA69DB"/>
    <w:rsid w:val="6E2711F5"/>
    <w:rsid w:val="6E8E4DD0"/>
    <w:rsid w:val="6F307B17"/>
    <w:rsid w:val="6F444552"/>
    <w:rsid w:val="6F934A3E"/>
    <w:rsid w:val="6F9B0501"/>
    <w:rsid w:val="6FD168D9"/>
    <w:rsid w:val="719C5A56"/>
    <w:rsid w:val="71EF5F50"/>
    <w:rsid w:val="72223B87"/>
    <w:rsid w:val="723E2669"/>
    <w:rsid w:val="725519E5"/>
    <w:rsid w:val="72570D1E"/>
    <w:rsid w:val="72D97E03"/>
    <w:rsid w:val="73C82B32"/>
    <w:rsid w:val="74161AF0"/>
    <w:rsid w:val="7437946F"/>
    <w:rsid w:val="74535F81"/>
    <w:rsid w:val="74B15375"/>
    <w:rsid w:val="74B91F5D"/>
    <w:rsid w:val="75491A51"/>
    <w:rsid w:val="7553467E"/>
    <w:rsid w:val="75785319"/>
    <w:rsid w:val="762535D1"/>
    <w:rsid w:val="76876CD5"/>
    <w:rsid w:val="770634B7"/>
    <w:rsid w:val="77301FAE"/>
    <w:rsid w:val="7755A8D0"/>
    <w:rsid w:val="77B746D8"/>
    <w:rsid w:val="77DB177E"/>
    <w:rsid w:val="77FD6186"/>
    <w:rsid w:val="785B3F75"/>
    <w:rsid w:val="789644F0"/>
    <w:rsid w:val="78B953AC"/>
    <w:rsid w:val="78BD47BB"/>
    <w:rsid w:val="79050385"/>
    <w:rsid w:val="793C1902"/>
    <w:rsid w:val="794E6BD4"/>
    <w:rsid w:val="796A38C5"/>
    <w:rsid w:val="79BA4CCB"/>
    <w:rsid w:val="7A57218E"/>
    <w:rsid w:val="7A7628CA"/>
    <w:rsid w:val="7AAB138A"/>
    <w:rsid w:val="7C155C46"/>
    <w:rsid w:val="7C2F7BF3"/>
    <w:rsid w:val="7C305719"/>
    <w:rsid w:val="7C3522B8"/>
    <w:rsid w:val="7C445A4D"/>
    <w:rsid w:val="7C883F5E"/>
    <w:rsid w:val="7D641B1E"/>
    <w:rsid w:val="7D6869EF"/>
    <w:rsid w:val="7DB424E8"/>
    <w:rsid w:val="7DFDF4BC"/>
    <w:rsid w:val="7E7F0631"/>
    <w:rsid w:val="7F305CCE"/>
    <w:rsid w:val="7F3B68AE"/>
    <w:rsid w:val="7F907B7B"/>
    <w:rsid w:val="7FB623D9"/>
    <w:rsid w:val="7FF6572A"/>
    <w:rsid w:val="8EFA7537"/>
    <w:rsid w:val="9FBFBB80"/>
    <w:rsid w:val="A65F05F5"/>
    <w:rsid w:val="B366788D"/>
    <w:rsid w:val="BE6E5FA5"/>
    <w:rsid w:val="BFEF8D87"/>
    <w:rsid w:val="CB765CA3"/>
    <w:rsid w:val="DBFF1592"/>
    <w:rsid w:val="DF4F2F1D"/>
    <w:rsid w:val="DF7A2E48"/>
    <w:rsid w:val="DFFDBFBA"/>
    <w:rsid w:val="E76E964F"/>
    <w:rsid w:val="EDFB422D"/>
    <w:rsid w:val="EFDFC54D"/>
    <w:rsid w:val="EFEDAD35"/>
    <w:rsid w:val="EFF732E2"/>
    <w:rsid w:val="EFFD5075"/>
    <w:rsid w:val="F3FF987C"/>
    <w:rsid w:val="F7FFE3FB"/>
    <w:rsid w:val="F9FFD332"/>
    <w:rsid w:val="FAAEFC12"/>
    <w:rsid w:val="FC5ECE8D"/>
    <w:rsid w:val="FDE933D8"/>
    <w:rsid w:val="FDF34176"/>
    <w:rsid w:val="FDFE58A4"/>
    <w:rsid w:val="FEDE28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99"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6">
    <w:name w:val="heading 1"/>
    <w:basedOn w:val="1"/>
    <w:next w:val="1"/>
    <w:autoRedefine/>
    <w:qFormat/>
    <w:uiPriority w:val="0"/>
    <w:pPr>
      <w:spacing w:before="100" w:beforeAutospacing="1" w:after="100" w:afterAutospacing="1"/>
      <w:jc w:val="left"/>
      <w:outlineLvl w:val="0"/>
    </w:pPr>
    <w:rPr>
      <w:rFonts w:hint="eastAsia" w:ascii="宋体" w:hAnsi="宋体" w:eastAsia="宋体" w:cs="宋体"/>
      <w:b/>
      <w:bCs/>
      <w:kern w:val="44"/>
      <w:sz w:val="48"/>
      <w:szCs w:val="48"/>
      <w:lang w:val="en-US" w:eastAsia="zh-CN" w:bidi="ar"/>
    </w:rPr>
  </w:style>
  <w:style w:type="character" w:default="1" w:styleId="12">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2">
    <w:name w:val="Body Text First Indent"/>
    <w:basedOn w:val="3"/>
    <w:autoRedefine/>
    <w:qFormat/>
    <w:uiPriority w:val="0"/>
    <w:pPr>
      <w:spacing w:before="120" w:after="240"/>
      <w:ind w:leftChars="100" w:firstLine="420" w:firstLineChars="100"/>
    </w:pPr>
  </w:style>
  <w:style w:type="paragraph" w:styleId="3">
    <w:name w:val="Body Text"/>
    <w:basedOn w:val="1"/>
    <w:next w:val="4"/>
    <w:autoRedefine/>
    <w:qFormat/>
    <w:uiPriority w:val="0"/>
    <w:pPr>
      <w:spacing w:after="120"/>
    </w:pPr>
    <w:rPr>
      <w:rFonts w:eastAsia="Times New Roman"/>
      <w:szCs w:val="20"/>
    </w:rPr>
  </w:style>
  <w:style w:type="paragraph" w:styleId="4">
    <w:name w:val="footer"/>
    <w:basedOn w:val="1"/>
    <w:next w:val="5"/>
    <w:autoRedefine/>
    <w:unhideWhenUsed/>
    <w:qFormat/>
    <w:uiPriority w:val="99"/>
    <w:pPr>
      <w:tabs>
        <w:tab w:val="center" w:pos="4153"/>
        <w:tab w:val="right" w:pos="8306"/>
      </w:tabs>
      <w:snapToGrid w:val="0"/>
      <w:jc w:val="left"/>
    </w:pPr>
    <w:rPr>
      <w:sz w:val="18"/>
    </w:rPr>
  </w:style>
  <w:style w:type="paragraph" w:styleId="5">
    <w:name w:val="index 5"/>
    <w:basedOn w:val="1"/>
    <w:next w:val="1"/>
    <w:autoRedefine/>
    <w:qFormat/>
    <w:uiPriority w:val="0"/>
    <w:pPr>
      <w:ind w:left="1680"/>
    </w:pPr>
  </w:style>
  <w:style w:type="paragraph" w:styleId="7">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footnote text"/>
    <w:basedOn w:val="1"/>
    <w:autoRedefine/>
    <w:qFormat/>
    <w:uiPriority w:val="99"/>
    <w:pPr>
      <w:snapToGrid w:val="0"/>
      <w:jc w:val="left"/>
    </w:pPr>
  </w:style>
  <w:style w:type="paragraph" w:styleId="9">
    <w:name w:val="Normal (Web)"/>
    <w:basedOn w:val="1"/>
    <w:autoRedefine/>
    <w:qFormat/>
    <w:uiPriority w:val="0"/>
    <w:pPr>
      <w:spacing w:before="100" w:beforeAutospacing="1" w:after="100" w:afterAutospacing="1"/>
      <w:ind w:left="0" w:right="0"/>
      <w:jc w:val="left"/>
    </w:pPr>
    <w:rPr>
      <w:kern w:val="0"/>
      <w:sz w:val="24"/>
      <w:lang w:val="en-US" w:eastAsia="zh-CN" w:bidi="ar"/>
    </w:rPr>
  </w:style>
  <w:style w:type="table" w:styleId="11">
    <w:name w:val="Table Grid"/>
    <w:basedOn w:val="1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autoRedefine/>
    <w:qFormat/>
    <w:uiPriority w:val="0"/>
    <w:rPr>
      <w:color w:val="0000FF"/>
      <w:u w:val="single"/>
    </w:rPr>
  </w:style>
  <w:style w:type="character" w:customStyle="1" w:styleId="14">
    <w:name w:val="font51"/>
    <w:basedOn w:val="12"/>
    <w:autoRedefine/>
    <w:qFormat/>
    <w:uiPriority w:val="0"/>
    <w:rPr>
      <w:rFonts w:ascii="方正书宋_GBK" w:hAnsi="方正书宋_GBK" w:eastAsia="方正书宋_GBK" w:cs="方正书宋_GBK"/>
      <w:color w:val="000000"/>
      <w:sz w:val="24"/>
      <w:szCs w:val="24"/>
      <w:u w:val="none"/>
    </w:rPr>
  </w:style>
  <w:style w:type="character" w:customStyle="1" w:styleId="15">
    <w:name w:val="font11"/>
    <w:basedOn w:val="12"/>
    <w:autoRedefine/>
    <w:qFormat/>
    <w:uiPriority w:val="0"/>
    <w:rPr>
      <w:rFonts w:hint="eastAsia" w:ascii="CESI黑体-GB2312" w:hAnsi="CESI黑体-GB2312" w:eastAsia="CESI黑体-GB2312" w:cs="CESI黑体-GB2312"/>
      <w:color w:val="000000"/>
      <w:sz w:val="24"/>
      <w:szCs w:val="24"/>
      <w:u w:val="none"/>
    </w:rPr>
  </w:style>
  <w:style w:type="character" w:customStyle="1" w:styleId="16">
    <w:name w:val="font61"/>
    <w:basedOn w:val="12"/>
    <w:autoRedefine/>
    <w:qFormat/>
    <w:uiPriority w:val="0"/>
    <w:rPr>
      <w:rFonts w:hint="eastAsia" w:ascii="宋体" w:hAnsi="宋体" w:eastAsia="宋体" w:cs="宋体"/>
      <w:color w:val="000000"/>
      <w:sz w:val="22"/>
      <w:szCs w:val="22"/>
      <w:u w:val="none"/>
    </w:rPr>
  </w:style>
  <w:style w:type="character" w:customStyle="1" w:styleId="17">
    <w:name w:val="font41"/>
    <w:basedOn w:val="12"/>
    <w:autoRedefine/>
    <w:qFormat/>
    <w:uiPriority w:val="0"/>
    <w:rPr>
      <w:rFonts w:hint="default" w:ascii="仿宋_GB2312" w:eastAsia="仿宋_GB2312" w:cs="仿宋_GB2312"/>
      <w:color w:val="000000"/>
      <w:sz w:val="22"/>
      <w:szCs w:val="22"/>
      <w:u w:val="none"/>
    </w:rPr>
  </w:style>
  <w:style w:type="character" w:customStyle="1" w:styleId="18">
    <w:name w:val="font01"/>
    <w:basedOn w:val="12"/>
    <w:autoRedefine/>
    <w:qFormat/>
    <w:uiPriority w:val="0"/>
    <w:rPr>
      <w:rFonts w:ascii="汉仪细圆B5" w:hAnsi="汉仪细圆B5" w:eastAsia="汉仪细圆B5" w:cs="汉仪细圆B5"/>
      <w:color w:val="000000"/>
      <w:sz w:val="22"/>
      <w:szCs w:val="22"/>
      <w:u w:val="none"/>
    </w:rPr>
  </w:style>
  <w:style w:type="paragraph" w:customStyle="1" w:styleId="19">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20">
    <w:name w:val="No Spacing"/>
    <w:autoRedefine/>
    <w:qFormat/>
    <w:uiPriority w:val="1"/>
    <w:pPr>
      <w:widowControl w:val="0"/>
      <w:jc w:val="both"/>
    </w:pPr>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3143</Words>
  <Characters>3224</Characters>
  <Lines>0</Lines>
  <Paragraphs>0</Paragraphs>
  <TotalTime>3</TotalTime>
  <ScaleCrop>false</ScaleCrop>
  <LinksUpToDate>false</LinksUpToDate>
  <CharactersWithSpaces>3258</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2023-03-09T16:24:00Z</dcterms:created>
  <dc:creator>rst</dc:creator>
  <cp:lastModifiedBy>苍苍</cp:lastModifiedBy>
  <cp:lastPrinted>2023-12-14T01:12:00Z</cp:lastPrinted>
  <dcterms:modified xsi:type="dcterms:W3CDTF">2024-03-18T01:10:47Z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BBE6E4186816475F9A151A2706FEC312_12</vt:lpwstr>
  </property>
</Properties>
</file>