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TimesNewRoman" w:hAnsi="TimesNewRoman" w:eastAsia="华文中宋" w:cs="TimesNewRoman"/>
          <w:b/>
          <w:sz w:val="36"/>
          <w:szCs w:val="36"/>
          <w:lang w:eastAsia="zh-CN"/>
        </w:rPr>
      </w:pPr>
    </w:p>
    <w:p>
      <w:pPr>
        <w:spacing w:line="560" w:lineRule="exact"/>
        <w:jc w:val="center"/>
        <w:rPr>
          <w:rFonts w:hint="eastAsia" w:ascii="TimesNewRoman" w:hAnsi="TimesNewRoman" w:eastAsia="华文中宋" w:cs="TimesNewRoman"/>
          <w:b/>
          <w:sz w:val="36"/>
          <w:szCs w:val="36"/>
          <w:lang w:eastAsia="zh-CN"/>
        </w:rPr>
      </w:pPr>
    </w:p>
    <w:p>
      <w:pPr>
        <w:spacing w:line="560" w:lineRule="exact"/>
        <w:jc w:val="center"/>
        <w:rPr>
          <w:rFonts w:hint="eastAsia" w:ascii="TimesNewRoman" w:hAnsi="TimesNewRoman" w:eastAsia="华文中宋" w:cs="TimesNewRoman"/>
          <w:b/>
          <w:sz w:val="36"/>
          <w:szCs w:val="36"/>
        </w:rPr>
      </w:pPr>
      <w:bookmarkStart w:id="0" w:name="_GoBack"/>
      <w:bookmarkEnd w:id="0"/>
      <w:r>
        <w:rPr>
          <w:rFonts w:hint="eastAsia" w:ascii="TimesNewRoman" w:hAnsi="TimesNewRoman" w:eastAsia="华文中宋" w:cs="TimesNewRoman"/>
          <w:b/>
          <w:sz w:val="36"/>
          <w:szCs w:val="36"/>
          <w:lang w:eastAsia="zh-CN"/>
        </w:rPr>
        <w:t>石台县牯牛降景区管理中心</w:t>
      </w:r>
      <w:r>
        <w:rPr>
          <w:rFonts w:hint="eastAsia" w:ascii="TimesNewRoman" w:hAnsi="TimesNewRoman" w:eastAsia="华文中宋" w:cs="TimesNewRoman"/>
          <w:b/>
          <w:sz w:val="36"/>
          <w:szCs w:val="36"/>
        </w:rPr>
        <w:t>2024</w:t>
      </w:r>
      <w:r>
        <w:rPr>
          <w:rFonts w:ascii="TimesNewRoman" w:hAnsi="TimesNewRoman" w:eastAsia="华文中宋" w:cs="TimesNewRoman"/>
          <w:b/>
          <w:sz w:val="36"/>
          <w:szCs w:val="36"/>
        </w:rPr>
        <w:t>年</w:t>
      </w:r>
      <w:r>
        <w:rPr>
          <w:rFonts w:hint="eastAsia" w:ascii="TimesNewRoman" w:hAnsi="TimesNewRoman" w:eastAsia="华文中宋" w:cs="TimesNewRoman"/>
          <w:b/>
          <w:sz w:val="36"/>
          <w:szCs w:val="36"/>
        </w:rPr>
        <w:t>二</w:t>
      </w:r>
      <w:r>
        <w:rPr>
          <w:rFonts w:ascii="TimesNewRoman" w:hAnsi="TimesNewRoman" w:eastAsia="华文中宋" w:cs="TimesNewRoman"/>
          <w:b/>
          <w:sz w:val="36"/>
          <w:szCs w:val="36"/>
        </w:rPr>
        <w:t>季度</w:t>
      </w:r>
      <w:r>
        <w:rPr>
          <w:rFonts w:hint="eastAsia" w:ascii="TimesNewRoman" w:hAnsi="TimesNewRoman" w:eastAsia="华文中宋" w:cs="TimesNewRoman"/>
          <w:b/>
          <w:sz w:val="36"/>
          <w:szCs w:val="36"/>
        </w:rPr>
        <w:t>末县级</w:t>
      </w:r>
    </w:p>
    <w:p>
      <w:pPr>
        <w:spacing w:line="560" w:lineRule="exact"/>
        <w:jc w:val="center"/>
        <w:rPr>
          <w:rFonts w:ascii="TimesNewRoman" w:hAnsi="TimesNewRoman" w:eastAsia="华文中宋" w:cs="TimesNewRoman"/>
          <w:b/>
          <w:sz w:val="36"/>
          <w:szCs w:val="36"/>
        </w:rPr>
      </w:pPr>
      <w:r>
        <w:rPr>
          <w:rFonts w:ascii="TimesNewRoman" w:hAnsi="TimesNewRoman" w:eastAsia="华文中宋" w:cs="TimesNewRoman"/>
          <w:b/>
          <w:sz w:val="36"/>
          <w:szCs w:val="36"/>
        </w:rPr>
        <w:t>一般公共预算执行情况</w:t>
      </w:r>
    </w:p>
    <w:p>
      <w:pPr>
        <w:spacing w:line="560" w:lineRule="exact"/>
        <w:jc w:val="center"/>
        <w:rPr>
          <w:rFonts w:ascii="TimesNewRoman" w:hAnsi="TimesNewRoman" w:eastAsia="华文中宋" w:cs="TimesNewRoman"/>
          <w:b/>
          <w:szCs w:val="32"/>
        </w:rPr>
      </w:pPr>
    </w:p>
    <w:p>
      <w:pPr>
        <w:spacing w:line="560" w:lineRule="exact"/>
        <w:ind w:firstLine="664" w:firstLineChars="200"/>
        <w:outlineLvl w:val="0"/>
        <w:rPr>
          <w:rFonts w:ascii="TimesNewRoman" w:hAnsi="TimesNewRoman" w:eastAsia="黑体" w:cs="TimesNewRoman"/>
          <w:szCs w:val="32"/>
        </w:rPr>
      </w:pPr>
      <w:r>
        <w:rPr>
          <w:rFonts w:ascii="TimesNewRoman" w:hAnsi="TimesNewRoman" w:eastAsia="黑体" w:cs="TimesNewRoman"/>
          <w:szCs w:val="32"/>
        </w:rPr>
        <w:t>一、</w:t>
      </w:r>
      <w:r>
        <w:rPr>
          <w:rFonts w:hint="eastAsia" w:ascii="TimesNewRoman" w:hAnsi="TimesNewRoman" w:eastAsia="黑体" w:cs="TimesNewRoman"/>
          <w:szCs w:val="32"/>
        </w:rPr>
        <w:t>2024</w:t>
      </w:r>
      <w:r>
        <w:rPr>
          <w:rFonts w:ascii="TimesNewRoman" w:hAnsi="TimesNewRoman" w:eastAsia="黑体" w:cs="TimesNewRoman"/>
          <w:szCs w:val="32"/>
        </w:rPr>
        <w:t>年</w:t>
      </w:r>
      <w:r>
        <w:rPr>
          <w:rFonts w:hint="eastAsia" w:ascii="TimesNewRoman" w:hAnsi="TimesNewRoman" w:eastAsia="黑体" w:cs="TimesNewRoman"/>
          <w:szCs w:val="32"/>
        </w:rPr>
        <w:t>二</w:t>
      </w:r>
      <w:r>
        <w:rPr>
          <w:rFonts w:ascii="TimesNewRoman" w:hAnsi="TimesNewRoman" w:eastAsia="黑体" w:cs="TimesNewRoman"/>
          <w:szCs w:val="32"/>
        </w:rPr>
        <w:t>季度</w:t>
      </w:r>
      <w:r>
        <w:rPr>
          <w:rFonts w:hint="eastAsia" w:ascii="TimesNewRoman" w:hAnsi="TimesNewRoman" w:eastAsia="黑体" w:cs="TimesNewRoman"/>
          <w:szCs w:val="32"/>
        </w:rPr>
        <w:t>末县级</w:t>
      </w:r>
      <w:r>
        <w:rPr>
          <w:rFonts w:ascii="TimesNewRoman" w:hAnsi="TimesNewRoman" w:eastAsia="黑体" w:cs="TimesNewRoman"/>
          <w:szCs w:val="32"/>
        </w:rPr>
        <w:t>一般公共预算执行情况表</w:t>
      </w:r>
    </w:p>
    <w:p>
      <w:pPr>
        <w:spacing w:line="560" w:lineRule="exact"/>
        <w:ind w:firstLine="504" w:firstLineChars="200"/>
        <w:jc w:val="right"/>
        <w:outlineLvl w:val="0"/>
        <w:rPr>
          <w:rFonts w:ascii="TimesNewRoman" w:hAnsi="TimesNewRoman" w:eastAsia="黑体" w:cs="TimesNewRoman"/>
          <w:sz w:val="24"/>
          <w:szCs w:val="24"/>
        </w:rPr>
      </w:pPr>
      <w:r>
        <w:rPr>
          <w:rStyle w:val="5"/>
          <w:rFonts w:ascii="TimesNewRoman" w:hAnsi="TimesNewRoman" w:cs="TimesNewRoman"/>
          <w:b w:val="0"/>
          <w:bCs w:val="0"/>
          <w:sz w:val="24"/>
          <w:szCs w:val="24"/>
        </w:rPr>
        <w:t>单位：万元</w:t>
      </w:r>
    </w:p>
    <w:tbl>
      <w:tblPr>
        <w:tblStyle w:val="3"/>
        <w:tblW w:w="8882" w:type="dxa"/>
        <w:jc w:val="center"/>
        <w:tblLayout w:type="fixed"/>
        <w:tblCellMar>
          <w:top w:w="15" w:type="dxa"/>
          <w:left w:w="108" w:type="dxa"/>
          <w:bottom w:w="15" w:type="dxa"/>
          <w:right w:w="108" w:type="dxa"/>
        </w:tblCellMar>
      </w:tblPr>
      <w:tblGrid>
        <w:gridCol w:w="1136"/>
        <w:gridCol w:w="2693"/>
        <w:gridCol w:w="1843"/>
        <w:gridCol w:w="1984"/>
        <w:gridCol w:w="1226"/>
      </w:tblGrid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eastAsia="黑体" w:cs="TimesNewRoman"/>
                <w:bCs/>
                <w:kern w:val="0"/>
                <w:sz w:val="22"/>
                <w:szCs w:val="22"/>
              </w:rPr>
            </w:pPr>
            <w:r>
              <w:rPr>
                <w:rFonts w:ascii="TimesNewRoman" w:hAnsi="TimesNewRoman" w:eastAsia="黑体" w:cs="TimesNewRoman"/>
                <w:bCs/>
                <w:kern w:val="0"/>
                <w:sz w:val="22"/>
                <w:szCs w:val="22"/>
              </w:rPr>
              <w:t>类级科目代码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eastAsia="黑体" w:cs="TimesNewRoman"/>
                <w:bCs/>
                <w:kern w:val="0"/>
                <w:sz w:val="22"/>
                <w:szCs w:val="22"/>
              </w:rPr>
            </w:pPr>
            <w:r>
              <w:rPr>
                <w:rFonts w:ascii="TimesNewRoman" w:hAnsi="TimesNewRoman" w:eastAsia="黑体" w:cs="TimesNewRoman"/>
                <w:bCs/>
                <w:kern w:val="0"/>
                <w:sz w:val="22"/>
                <w:szCs w:val="22"/>
              </w:rPr>
              <w:t>类级科目名称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eastAsia="黑体" w:cs="TimesNewRoman"/>
                <w:bCs/>
                <w:kern w:val="0"/>
                <w:sz w:val="22"/>
                <w:szCs w:val="22"/>
              </w:rPr>
            </w:pPr>
            <w:r>
              <w:rPr>
                <w:rFonts w:hint="eastAsia" w:ascii="TimesNewRoman" w:hAnsi="TimesNewRoman" w:eastAsia="黑体" w:cs="TimesNewRoman"/>
                <w:bCs/>
                <w:kern w:val="0"/>
                <w:sz w:val="22"/>
                <w:szCs w:val="22"/>
              </w:rPr>
              <w:t>县级</w:t>
            </w:r>
            <w:r>
              <w:rPr>
                <w:rFonts w:ascii="TimesNewRoman" w:hAnsi="TimesNewRoman" w:eastAsia="黑体" w:cs="TimesNewRoman"/>
                <w:bCs/>
                <w:kern w:val="0"/>
                <w:sz w:val="22"/>
                <w:szCs w:val="22"/>
              </w:rPr>
              <w:t>一般公共</w:t>
            </w:r>
          </w:p>
          <w:p>
            <w:pPr>
              <w:widowControl/>
              <w:spacing w:line="560" w:lineRule="exact"/>
              <w:jc w:val="center"/>
              <w:rPr>
                <w:rFonts w:ascii="TimesNewRoman" w:hAnsi="TimesNewRoman" w:eastAsia="黑体" w:cs="TimesNewRoman"/>
                <w:bCs/>
                <w:kern w:val="0"/>
                <w:sz w:val="22"/>
                <w:szCs w:val="22"/>
              </w:rPr>
            </w:pPr>
            <w:r>
              <w:rPr>
                <w:rFonts w:ascii="TimesNewRoman" w:hAnsi="TimesNewRoman" w:eastAsia="黑体" w:cs="TimesNewRoman"/>
                <w:bCs/>
                <w:kern w:val="0"/>
                <w:sz w:val="22"/>
                <w:szCs w:val="22"/>
              </w:rPr>
              <w:t>预算安排数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eastAsia="黑体" w:cs="TimesNewRoman"/>
                <w:bCs/>
                <w:kern w:val="0"/>
                <w:sz w:val="22"/>
                <w:szCs w:val="22"/>
              </w:rPr>
            </w:pPr>
            <w:r>
              <w:rPr>
                <w:rFonts w:hint="eastAsia" w:ascii="TimesNewRoman" w:hAnsi="TimesNewRoman" w:eastAsia="黑体" w:cs="TimesNewRoman"/>
                <w:bCs/>
                <w:kern w:val="0"/>
                <w:sz w:val="22"/>
                <w:szCs w:val="22"/>
              </w:rPr>
              <w:t>县级</w:t>
            </w:r>
            <w:r>
              <w:rPr>
                <w:rFonts w:ascii="TimesNewRoman" w:hAnsi="TimesNewRoman" w:eastAsia="黑体" w:cs="TimesNewRoman"/>
                <w:bCs/>
                <w:kern w:val="0"/>
                <w:sz w:val="22"/>
                <w:szCs w:val="22"/>
              </w:rPr>
              <w:t>一般公共</w:t>
            </w:r>
          </w:p>
          <w:p>
            <w:pPr>
              <w:widowControl/>
              <w:spacing w:line="560" w:lineRule="exact"/>
              <w:jc w:val="center"/>
              <w:rPr>
                <w:rFonts w:ascii="TimesNewRoman" w:hAnsi="TimesNewRoman" w:eastAsia="黑体" w:cs="TimesNewRoman"/>
                <w:bCs/>
                <w:kern w:val="0"/>
                <w:sz w:val="22"/>
                <w:szCs w:val="22"/>
              </w:rPr>
            </w:pPr>
            <w:r>
              <w:rPr>
                <w:rFonts w:ascii="TimesNewRoman" w:hAnsi="TimesNewRoman" w:eastAsia="黑体" w:cs="TimesNewRoman"/>
                <w:bCs/>
                <w:kern w:val="0"/>
                <w:sz w:val="22"/>
                <w:szCs w:val="22"/>
              </w:rPr>
              <w:t>预算执行数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eastAsia="黑体" w:cs="TimesNewRoman"/>
                <w:bCs/>
                <w:kern w:val="0"/>
                <w:sz w:val="22"/>
                <w:szCs w:val="22"/>
              </w:rPr>
            </w:pPr>
            <w:r>
              <w:rPr>
                <w:rFonts w:ascii="TimesNewRoman" w:hAnsi="TimesNewRoman" w:eastAsia="黑体" w:cs="TimesNewRoman"/>
                <w:bCs/>
                <w:kern w:val="0"/>
                <w:sz w:val="22"/>
                <w:szCs w:val="22"/>
              </w:rPr>
              <w:t>预算执行进度</w:t>
            </w:r>
          </w:p>
        </w:tc>
      </w:tr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cs="TimesNewRoman"/>
                <w:kern w:val="0"/>
                <w:sz w:val="20"/>
              </w:rPr>
            </w:pPr>
            <w:r>
              <w:rPr>
                <w:rFonts w:ascii="TimesNewRoman" w:hAnsi="TimesNewRoman" w:cs="TimesNewRoman"/>
                <w:kern w:val="0"/>
                <w:sz w:val="20"/>
              </w:rPr>
              <w:t>20</w:t>
            </w:r>
            <w:r>
              <w:rPr>
                <w:rFonts w:hint="eastAsia" w:ascii="TimesNewRoman" w:hAnsi="TimesNewRoman" w:cs="TimesNewRoman"/>
                <w:kern w:val="0"/>
                <w:sz w:val="20"/>
              </w:rPr>
              <w:t>1</w:t>
            </w:r>
            <w:r>
              <w:rPr>
                <w:rFonts w:ascii="TimesNewRoman" w:hAnsi="TimesNewRoman" w:cs="TimesNewRoman"/>
                <w:kern w:val="0"/>
                <w:sz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cs="TimesNewRoman"/>
                <w:kern w:val="0"/>
                <w:sz w:val="20"/>
              </w:rPr>
            </w:pPr>
            <w:r>
              <w:rPr>
                <w:rFonts w:ascii="TimesNewRoman" w:hAnsi="TimesNewRoman" w:cs="TimesNewRoman"/>
                <w:kern w:val="0"/>
                <w:sz w:val="20"/>
              </w:rPr>
              <w:t>一般公共服务支出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NewRoman" w:hAnsi="TimesNewRoman" w:eastAsia="仿宋_GB2312" w:cs="TimesNewRoman"/>
                <w:kern w:val="0"/>
                <w:sz w:val="20"/>
                <w:lang w:val="en-US" w:eastAsia="zh-CN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1169529.98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NewRoman" w:hAnsi="TimesNewRoman" w:eastAsia="仿宋_GB2312" w:cs="TimesNewRoman"/>
                <w:kern w:val="0"/>
                <w:sz w:val="20"/>
                <w:lang w:val="en-US" w:eastAsia="zh-CN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708183.44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</w:rPr>
              <w:t>6</w:t>
            </w: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1</w:t>
            </w:r>
            <w:r>
              <w:rPr>
                <w:rFonts w:hint="eastAsia" w:ascii="TimesNewRoman" w:hAnsi="TimesNewRoman" w:cs="TimesNewRoman"/>
                <w:kern w:val="0"/>
                <w:sz w:val="20"/>
              </w:rPr>
              <w:t>.00%</w:t>
            </w:r>
          </w:p>
        </w:tc>
      </w:tr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</w:rPr>
              <w:t>208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</w:rPr>
              <w:t>社会保障和就业支出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NewRoman" w:hAnsi="TimesNewRoman" w:eastAsia="仿宋_GB2312" w:cs="TimesNewRoman"/>
                <w:kern w:val="0"/>
                <w:sz w:val="20"/>
                <w:lang w:val="en-US" w:eastAsia="zh-CN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217607.16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NewRoman" w:hAnsi="TimesNewRoman" w:eastAsia="仿宋_GB2312" w:cs="TimesNewRoman"/>
                <w:kern w:val="0"/>
                <w:sz w:val="20"/>
                <w:lang w:val="en-US" w:eastAsia="zh-CN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96787.08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</w:rPr>
              <w:t>4</w:t>
            </w: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4</w:t>
            </w:r>
            <w:r>
              <w:rPr>
                <w:rFonts w:hint="eastAsia" w:ascii="TimesNewRoman" w:hAnsi="TimesNewRoman" w:cs="TimesNewRoman"/>
                <w:kern w:val="0"/>
                <w:sz w:val="20"/>
              </w:rPr>
              <w:t>.00%</w:t>
            </w:r>
          </w:p>
        </w:tc>
      </w:tr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</w:rPr>
              <w:t>210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</w:rPr>
              <w:t>卫生健康支出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NewRoman" w:hAnsi="TimesNewRoman" w:eastAsia="仿宋_GB2312" w:cs="TimesNewRoman"/>
                <w:kern w:val="0"/>
                <w:sz w:val="20"/>
                <w:lang w:val="en-US" w:eastAsia="zh-CN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54586.51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NewRoman" w:hAnsi="TimesNewRoman" w:eastAsia="仿宋_GB2312" w:cs="TimesNewRoman"/>
                <w:kern w:val="0"/>
                <w:sz w:val="20"/>
                <w:lang w:val="en-US" w:eastAsia="zh-CN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26498.68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</w:rPr>
              <w:t>4</w:t>
            </w: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9</w:t>
            </w:r>
            <w:r>
              <w:rPr>
                <w:rFonts w:hint="eastAsia" w:ascii="TimesNewRoman" w:hAnsi="TimesNewRoman" w:cs="TimesNewRoman"/>
                <w:kern w:val="0"/>
                <w:sz w:val="20"/>
              </w:rPr>
              <w:t>.00%</w:t>
            </w:r>
          </w:p>
        </w:tc>
      </w:tr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</w:rPr>
              <w:t>221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</w:rPr>
              <w:t>住房保障支出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194790</w:t>
            </w:r>
            <w:r>
              <w:rPr>
                <w:rFonts w:hint="eastAsia" w:ascii="TimesNewRoman" w:hAnsi="TimesNewRoman" w:cs="TimesNewRoman"/>
                <w:kern w:val="0"/>
                <w:sz w:val="20"/>
              </w:rPr>
              <w:t>.00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85554</w:t>
            </w:r>
            <w:r>
              <w:rPr>
                <w:rFonts w:hint="eastAsia" w:ascii="TimesNewRoman" w:hAnsi="TimesNewRoman" w:cs="TimesNewRoman"/>
                <w:kern w:val="0"/>
                <w:sz w:val="20"/>
              </w:rPr>
              <w:t>.00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cs="TimesNewRoman"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kern w:val="0"/>
                <w:sz w:val="20"/>
              </w:rPr>
              <w:t>4</w:t>
            </w:r>
            <w:r>
              <w:rPr>
                <w:rFonts w:hint="eastAsia" w:ascii="TimesNewRoman" w:hAnsi="TimesNewRoman" w:cs="TimesNewRoman"/>
                <w:kern w:val="0"/>
                <w:sz w:val="20"/>
                <w:lang w:val="en-US" w:eastAsia="zh-CN"/>
              </w:rPr>
              <w:t>4</w:t>
            </w:r>
            <w:r>
              <w:rPr>
                <w:rFonts w:hint="eastAsia" w:ascii="TimesNewRoman" w:hAnsi="TimesNewRoman" w:cs="TimesNewRoman"/>
                <w:kern w:val="0"/>
                <w:sz w:val="20"/>
              </w:rPr>
              <w:t>.00%</w:t>
            </w:r>
          </w:p>
        </w:tc>
      </w:tr>
      <w:tr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38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ascii="TimesNewRoman" w:hAnsi="TimesNewRoman" w:cs="TimesNewRoman"/>
                <w:b/>
                <w:bCs/>
                <w:kern w:val="0"/>
                <w:sz w:val="20"/>
              </w:rPr>
              <w:t>合</w:t>
            </w:r>
            <w:r>
              <w:rPr>
                <w:rFonts w:hint="eastAsia" w:ascii="TimesNewRoman" w:hAnsi="TimesNewRoman" w:cs="TimesNewRoman"/>
                <w:b/>
                <w:bCs/>
                <w:kern w:val="0"/>
                <w:sz w:val="20"/>
              </w:rPr>
              <w:t xml:space="preserve"> </w:t>
            </w:r>
            <w:r>
              <w:rPr>
                <w:rFonts w:ascii="TimesNewRoman" w:hAnsi="TimesNewRoman" w:cs="TimesNewRoman"/>
                <w:b/>
                <w:bCs/>
                <w:kern w:val="0"/>
                <w:sz w:val="20"/>
              </w:rPr>
              <w:t>计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NewRoman" w:hAnsi="TimesNewRoman" w:eastAsia="仿宋_GB2312" w:cs="TimesNewRoman"/>
                <w:b/>
                <w:bCs/>
                <w:kern w:val="0"/>
                <w:sz w:val="20"/>
                <w:lang w:val="en-US" w:eastAsia="zh-CN"/>
              </w:rPr>
            </w:pPr>
            <w:r>
              <w:rPr>
                <w:rFonts w:hint="eastAsia" w:ascii="TimesNewRoman" w:hAnsi="TimesNewRoman" w:cs="TimesNewRoman"/>
                <w:b/>
                <w:bCs/>
                <w:kern w:val="0"/>
                <w:sz w:val="20"/>
                <w:lang w:val="en-US" w:eastAsia="zh-CN"/>
              </w:rPr>
              <w:t>1636513.65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NewRoman" w:hAnsi="TimesNewRoman" w:eastAsia="仿宋_GB2312" w:cs="TimesNewRoman"/>
                <w:b/>
                <w:bCs/>
                <w:kern w:val="0"/>
                <w:sz w:val="20"/>
                <w:lang w:val="en-US" w:eastAsia="zh-CN"/>
              </w:rPr>
            </w:pPr>
            <w:r>
              <w:rPr>
                <w:rFonts w:hint="eastAsia" w:ascii="TimesNewRoman" w:hAnsi="TimesNewRoman" w:cs="TimesNewRoman"/>
                <w:b/>
                <w:bCs/>
                <w:kern w:val="0"/>
                <w:sz w:val="20"/>
                <w:lang w:val="en-US" w:eastAsia="zh-CN"/>
              </w:rPr>
              <w:t>917023.2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NewRoman" w:hAnsi="TimesNewRoman" w:cs="TimesNewRoman"/>
                <w:b/>
                <w:bCs/>
                <w:kern w:val="0"/>
                <w:sz w:val="20"/>
              </w:rPr>
            </w:pPr>
            <w:r>
              <w:rPr>
                <w:rFonts w:hint="eastAsia" w:ascii="TimesNewRoman" w:hAnsi="TimesNewRoman" w:cs="TimesNewRoman"/>
                <w:b/>
                <w:bCs/>
                <w:kern w:val="0"/>
                <w:sz w:val="20"/>
                <w:lang w:val="en-US" w:eastAsia="zh-CN"/>
              </w:rPr>
              <w:t>56.04</w:t>
            </w:r>
            <w:r>
              <w:rPr>
                <w:rFonts w:hint="eastAsia" w:ascii="TimesNewRoman" w:hAnsi="TimesNewRoman" w:cs="TimesNewRoman"/>
                <w:b/>
                <w:bCs/>
                <w:kern w:val="0"/>
                <w:sz w:val="20"/>
              </w:rPr>
              <w:t>%</w:t>
            </w:r>
          </w:p>
        </w:tc>
      </w:tr>
    </w:tbl>
    <w:p>
      <w:pPr>
        <w:spacing w:line="560" w:lineRule="exact"/>
        <w:outlineLvl w:val="0"/>
        <w:rPr>
          <w:rFonts w:ascii="TimesNewRoman" w:hAnsi="TimesNewRoman" w:cs="TimesNewRoman"/>
          <w:szCs w:val="32"/>
        </w:rPr>
      </w:pPr>
    </w:p>
    <w:p>
      <w:pPr>
        <w:spacing w:line="560" w:lineRule="exact"/>
        <w:ind w:firstLine="664" w:firstLineChars="200"/>
        <w:outlineLvl w:val="0"/>
        <w:rPr>
          <w:rFonts w:ascii="TimesNewRoman" w:hAnsi="TimesNewRoman" w:eastAsia="黑体" w:cs="TimesNewRoman"/>
          <w:szCs w:val="32"/>
        </w:rPr>
      </w:pPr>
      <w:r>
        <w:rPr>
          <w:rFonts w:ascii="TimesNewRoman" w:hAnsi="TimesNewRoman" w:eastAsia="黑体" w:cs="TimesNewRoman"/>
          <w:szCs w:val="32"/>
        </w:rPr>
        <w:t>二、</w:t>
      </w:r>
      <w:r>
        <w:rPr>
          <w:rFonts w:hint="eastAsia" w:ascii="TimesNewRoman" w:hAnsi="TimesNewRoman" w:eastAsia="黑体" w:cs="TimesNewRoman"/>
          <w:szCs w:val="32"/>
        </w:rPr>
        <w:t>2024</w:t>
      </w:r>
      <w:r>
        <w:rPr>
          <w:rFonts w:ascii="TimesNewRoman" w:hAnsi="TimesNewRoman" w:eastAsia="黑体" w:cs="TimesNewRoman"/>
          <w:szCs w:val="32"/>
        </w:rPr>
        <w:t>年</w:t>
      </w:r>
      <w:r>
        <w:rPr>
          <w:rFonts w:hint="eastAsia" w:ascii="TimesNewRoman" w:hAnsi="TimesNewRoman" w:eastAsia="黑体" w:cs="TimesNewRoman"/>
          <w:szCs w:val="32"/>
        </w:rPr>
        <w:t>二</w:t>
      </w:r>
      <w:r>
        <w:rPr>
          <w:rFonts w:ascii="TimesNewRoman" w:hAnsi="TimesNewRoman" w:eastAsia="黑体" w:cs="TimesNewRoman"/>
          <w:szCs w:val="32"/>
        </w:rPr>
        <w:t>季度</w:t>
      </w:r>
      <w:r>
        <w:rPr>
          <w:rFonts w:hint="eastAsia" w:ascii="TimesNewRoman" w:hAnsi="TimesNewRoman" w:eastAsia="黑体" w:cs="TimesNewRoman"/>
          <w:szCs w:val="32"/>
        </w:rPr>
        <w:t>末县级</w:t>
      </w:r>
      <w:r>
        <w:rPr>
          <w:rFonts w:ascii="TimesNewRoman" w:hAnsi="TimesNewRoman" w:eastAsia="黑体" w:cs="TimesNewRoman"/>
          <w:szCs w:val="32"/>
        </w:rPr>
        <w:t>一般公共预算执行情况说明</w:t>
      </w:r>
    </w:p>
    <w:p>
      <w:pPr>
        <w:adjustRightInd w:val="0"/>
        <w:snapToGrid w:val="0"/>
        <w:spacing w:line="560" w:lineRule="exact"/>
        <w:ind w:firstLine="664" w:firstLineChars="200"/>
        <w:rPr>
          <w:rFonts w:ascii="TimesNewRoman" w:hAnsi="TimesNewRoman" w:cs="TimesNewRoman"/>
          <w:szCs w:val="32"/>
        </w:rPr>
      </w:pPr>
      <w:r>
        <w:rPr>
          <w:rFonts w:hint="eastAsia" w:ascii="TimesNewRoman" w:hAnsi="TimesNewRoman" w:cs="TimesNewRoman"/>
          <w:szCs w:val="32"/>
          <w:lang w:eastAsia="zh-CN"/>
        </w:rPr>
        <w:t>石台县牯牛降景区管理中心</w:t>
      </w:r>
      <w:r>
        <w:rPr>
          <w:rFonts w:hint="eastAsia" w:ascii="TimesNewRoman" w:hAnsi="TimesNewRoman" w:cs="TimesNewRoman"/>
          <w:szCs w:val="32"/>
        </w:rPr>
        <w:t>2024</w:t>
      </w:r>
      <w:r>
        <w:rPr>
          <w:rFonts w:ascii="TimesNewRoman" w:hAnsi="TimesNewRoman" w:cs="TimesNewRoman"/>
          <w:szCs w:val="32"/>
        </w:rPr>
        <w:t>年</w:t>
      </w:r>
      <w:r>
        <w:rPr>
          <w:rFonts w:hint="eastAsia" w:ascii="TimesNewRoman" w:hAnsi="TimesNewRoman" w:cs="TimesNewRoman"/>
          <w:szCs w:val="32"/>
        </w:rPr>
        <w:t>县级</w:t>
      </w:r>
      <w:r>
        <w:rPr>
          <w:rFonts w:ascii="TimesNewRoman" w:hAnsi="TimesNewRoman" w:cs="TimesNewRoman"/>
          <w:szCs w:val="32"/>
        </w:rPr>
        <w:t>一般公共预算安排数为</w:t>
      </w:r>
      <w:r>
        <w:rPr>
          <w:rFonts w:hint="eastAsia" w:ascii="TimesNewRoman" w:hAnsi="TimesNewRoman" w:cs="TimesNewRoman"/>
          <w:szCs w:val="32"/>
          <w:lang w:val="en-US" w:eastAsia="zh-CN"/>
        </w:rPr>
        <w:t>163.651365</w:t>
      </w:r>
      <w:r>
        <w:rPr>
          <w:rFonts w:ascii="TimesNewRoman" w:hAnsi="TimesNewRoman" w:cs="TimesNewRoman"/>
          <w:szCs w:val="32"/>
        </w:rPr>
        <w:t>万元，截至</w:t>
      </w:r>
      <w:r>
        <w:rPr>
          <w:rFonts w:hint="eastAsia" w:ascii="TimesNewRoman" w:hAnsi="TimesNewRoman" w:cs="TimesNewRoman"/>
          <w:szCs w:val="32"/>
        </w:rPr>
        <w:t>二</w:t>
      </w:r>
      <w:r>
        <w:rPr>
          <w:rFonts w:ascii="TimesNewRoman" w:hAnsi="TimesNewRoman" w:cs="TimesNewRoman"/>
          <w:szCs w:val="32"/>
        </w:rPr>
        <w:t>季度末，</w:t>
      </w:r>
      <w:r>
        <w:rPr>
          <w:rFonts w:hint="eastAsia" w:ascii="TimesNewRoman" w:hAnsi="TimesNewRoman" w:cs="TimesNewRoman"/>
          <w:szCs w:val="32"/>
        </w:rPr>
        <w:t>县级</w:t>
      </w:r>
      <w:r>
        <w:rPr>
          <w:rFonts w:ascii="TimesNewRoman" w:hAnsi="TimesNewRoman" w:cs="TimesNewRoman"/>
          <w:szCs w:val="32"/>
        </w:rPr>
        <w:t>一般公共预算执行数为</w:t>
      </w:r>
      <w:r>
        <w:rPr>
          <w:rFonts w:hint="eastAsia" w:ascii="TimesNewRoman" w:hAnsi="TimesNewRoman" w:cs="TimesNewRoman"/>
          <w:szCs w:val="32"/>
          <w:lang w:val="en-US" w:eastAsia="zh-CN"/>
        </w:rPr>
        <w:t>91.70232</w:t>
      </w:r>
      <w:r>
        <w:rPr>
          <w:rFonts w:ascii="TimesNewRoman" w:hAnsi="TimesNewRoman" w:cs="TimesNewRoman"/>
          <w:szCs w:val="32"/>
        </w:rPr>
        <w:t>万元，预算执行进度为</w:t>
      </w:r>
      <w:r>
        <w:rPr>
          <w:rFonts w:hint="eastAsia" w:ascii="TimesNewRoman" w:hAnsi="TimesNewRoman" w:cs="TimesNewRoman"/>
          <w:szCs w:val="32"/>
        </w:rPr>
        <w:t>5</w:t>
      </w:r>
      <w:r>
        <w:rPr>
          <w:rFonts w:hint="eastAsia" w:ascii="TimesNewRoman" w:hAnsi="TimesNewRoman" w:cs="TimesNewRoman"/>
          <w:szCs w:val="32"/>
          <w:lang w:val="en-US" w:eastAsia="zh-CN"/>
        </w:rPr>
        <w:t>6.04</w:t>
      </w:r>
      <w:r>
        <w:rPr>
          <w:rFonts w:ascii="TimesNewRoman" w:hAnsi="TimesNewRoman" w:cs="TimesNewRoman"/>
          <w:szCs w:val="32"/>
        </w:rPr>
        <w:t>%，预算执行进度超过序时进度，主要</w:t>
      </w:r>
      <w:r>
        <w:rPr>
          <w:rFonts w:hint="eastAsia" w:ascii="TimesNewRoman" w:hAnsi="TimesNewRoman" w:cs="TimesNewRoman"/>
          <w:szCs w:val="32"/>
        </w:rPr>
        <w:t>原因</w:t>
      </w:r>
      <w:r>
        <w:rPr>
          <w:rFonts w:ascii="TimesNewRoman" w:hAnsi="TimesNewRoman" w:cs="TimesNewRoman"/>
          <w:szCs w:val="32"/>
        </w:rPr>
        <w:t>是</w:t>
      </w:r>
      <w:r>
        <w:rPr>
          <w:rFonts w:hint="eastAsia" w:ascii="TimesNewRoman" w:hAnsi="TimesNewRoman" w:cs="TimesNewRoman"/>
          <w:szCs w:val="32"/>
        </w:rPr>
        <w:t>部分项目支出预算执行序时进度较快，基本完成</w:t>
      </w:r>
      <w:r>
        <w:rPr>
          <w:rFonts w:ascii="TimesNewRoman" w:hAnsi="TimesNewRoman" w:cs="TimesNewRoman"/>
          <w:szCs w:val="32"/>
        </w:rPr>
        <w:t>。</w:t>
      </w:r>
    </w:p>
    <w:p/>
    <w:sectPr>
      <w:footerReference r:id="rId3" w:type="default"/>
      <w:footerReference r:id="rId4" w:type="even"/>
      <w:pgSz w:w="11906" w:h="16838"/>
      <w:pgMar w:top="1440" w:right="1797" w:bottom="1440" w:left="1797" w:header="850" w:footer="992" w:gutter="0"/>
      <w:pgNumType w:fmt="numberInDash"/>
      <w:cols w:space="720" w:num="1"/>
      <w:docGrid w:type="linesAndChars" w:linePitch="437" w:charSpace="255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TimesNewRoman">
    <w:altName w:val="Times New Roman"/>
    <w:panose1 w:val="02020603050405020304"/>
    <w:charset w:val="00"/>
    <w:family w:val="auto"/>
    <w:pitch w:val="default"/>
    <w:sig w:usb0="00000000" w:usb1="00000000" w:usb2="00000029" w:usb3="00000000" w:csb0="600001FF" w:csb1="FFFF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/>
      <w:jc w:val="right"/>
      <w:rPr>
        <w:rFonts w:hint="eastAsia" w:ascii="仿宋_GB2312"/>
        <w:sz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4"/>
                              <w:szCs w:val="24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4"/>
                        <w:szCs w:val="24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1</w:t>
    </w:r>
    <w:r>
      <w:fldChar w:fldCharType="end"/>
    </w:r>
  </w:p>
  <w:p>
    <w:pPr>
      <w:pStyle w:val="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5NDhhYzhmNmIxYjBiNzI0ODhhZGFmNGYyOWY4NGMifQ=="/>
  </w:docVars>
  <w:rsids>
    <w:rsidRoot w:val="00000000"/>
    <w:rsid w:val="775B0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5">
    <w:name w:val="Strong"/>
    <w:basedOn w:val="4"/>
    <w:qFormat/>
    <w:uiPriority w:val="0"/>
    <w:rPr>
      <w:b/>
      <w:bCs/>
    </w:rPr>
  </w:style>
  <w:style w:type="character" w:styleId="6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2024-07-12T04:50:14Z</dcterms:created>
  <dc:creator>Administrator</dc:creator>
  <cp:lastModifiedBy>圆圆✨</cp:lastModifiedBy>
  <dcterms:modified xsi:type="dcterms:W3CDTF">2024-07-12T04:50:22Z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330DCDDDC87B4489ABDB5121E9AB6728_12</vt:lpwstr>
  </property>
</Properties>
</file>