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FF499">
      <w:pPr>
        <w:pStyle w:val="5"/>
        <w:shd w:val="clear" w:color="auto" w:fill="auto"/>
        <w:spacing w:after="0" w:line="900" w:lineRule="exact"/>
        <w:rPr>
          <w:b/>
          <w:bCs/>
        </w:rPr>
      </w:pPr>
      <w:r>
        <w:rPr>
          <w:rFonts w:hint="eastAsia" w:eastAsiaTheme="minorEastAsia"/>
          <w:b/>
          <w:bCs/>
        </w:rPr>
        <w:t>石台县</w:t>
      </w:r>
      <w:r>
        <w:rPr>
          <w:rFonts w:hint="eastAsia" w:eastAsiaTheme="minorEastAsia"/>
          <w:b/>
          <w:bCs/>
          <w:lang w:eastAsia="zh-CN"/>
        </w:rPr>
        <w:t>机关事务管理服务中心</w:t>
      </w:r>
      <w:r>
        <w:rPr>
          <w:b/>
          <w:bCs/>
        </w:rPr>
        <w:br w:type="textWrapping"/>
      </w:r>
      <w:r>
        <w:rPr>
          <w:rStyle w:val="6"/>
          <w:rFonts w:hint="eastAsia" w:eastAsia="PMingLiU"/>
        </w:rPr>
        <w:t>20</w:t>
      </w:r>
      <w:r>
        <w:rPr>
          <w:rStyle w:val="6"/>
          <w:rFonts w:hint="eastAsia"/>
          <w:lang w:val="en-US"/>
        </w:rPr>
        <w:t>20</w:t>
      </w:r>
      <w:r>
        <w:rPr>
          <w:rStyle w:val="6"/>
          <w:rFonts w:hint="eastAsia" w:eastAsia="PMingLiU"/>
        </w:rPr>
        <w:t>年</w:t>
      </w:r>
      <w:r>
        <w:rPr>
          <w:b/>
          <w:bCs/>
        </w:rPr>
        <w:t>部门预算</w:t>
      </w:r>
    </w:p>
    <w:p w14:paraId="538D1C08">
      <w:pPr>
        <w:pStyle w:val="5"/>
        <w:shd w:val="clear" w:color="auto" w:fill="auto"/>
        <w:spacing w:after="0" w:line="560" w:lineRule="exact"/>
      </w:pPr>
    </w:p>
    <w:p w14:paraId="401286FD">
      <w:pPr>
        <w:pStyle w:val="5"/>
        <w:shd w:val="clear" w:color="auto" w:fill="auto"/>
        <w:spacing w:after="0" w:line="560" w:lineRule="exact"/>
      </w:pPr>
    </w:p>
    <w:p w14:paraId="214BE92E">
      <w:pPr>
        <w:pStyle w:val="5"/>
        <w:shd w:val="clear" w:color="auto" w:fill="auto"/>
        <w:spacing w:after="0" w:line="560" w:lineRule="exact"/>
      </w:pPr>
    </w:p>
    <w:p w14:paraId="31F7B439">
      <w:pPr>
        <w:pStyle w:val="5"/>
        <w:shd w:val="clear" w:color="auto" w:fill="auto"/>
        <w:spacing w:after="0" w:line="560" w:lineRule="exact"/>
      </w:pPr>
    </w:p>
    <w:p w14:paraId="0D106253">
      <w:pPr>
        <w:pStyle w:val="5"/>
        <w:shd w:val="clear" w:color="auto" w:fill="auto"/>
        <w:spacing w:after="0" w:line="560" w:lineRule="exact"/>
      </w:pPr>
    </w:p>
    <w:p w14:paraId="0337B129">
      <w:pPr>
        <w:pStyle w:val="5"/>
        <w:shd w:val="clear" w:color="auto" w:fill="auto"/>
        <w:spacing w:after="0" w:line="560" w:lineRule="exact"/>
      </w:pPr>
    </w:p>
    <w:p w14:paraId="6AD7CBBB">
      <w:pPr>
        <w:pStyle w:val="5"/>
        <w:shd w:val="clear" w:color="auto" w:fill="auto"/>
        <w:spacing w:after="0" w:line="560" w:lineRule="exact"/>
      </w:pPr>
    </w:p>
    <w:p w14:paraId="5D16501C">
      <w:pPr>
        <w:pStyle w:val="5"/>
        <w:shd w:val="clear" w:color="auto" w:fill="auto"/>
        <w:spacing w:after="0" w:line="560" w:lineRule="exact"/>
      </w:pPr>
    </w:p>
    <w:p w14:paraId="69BA8D1E">
      <w:pPr>
        <w:pStyle w:val="5"/>
        <w:shd w:val="clear" w:color="auto" w:fill="auto"/>
        <w:spacing w:after="0" w:line="560" w:lineRule="exact"/>
        <w:jc w:val="both"/>
      </w:pPr>
    </w:p>
    <w:p w14:paraId="21C24749">
      <w:pPr>
        <w:pStyle w:val="5"/>
        <w:shd w:val="clear" w:color="auto" w:fill="auto"/>
        <w:spacing w:after="0" w:line="560" w:lineRule="exact"/>
        <w:rPr>
          <w:lang w:val="en-US"/>
        </w:rPr>
        <w:sectPr>
          <w:pgSz w:w="11900" w:h="16840"/>
          <w:pgMar w:top="4790" w:right="3555" w:bottom="3554" w:left="3147" w:header="0" w:footer="3" w:gutter="0"/>
          <w:cols w:space="720" w:num="1"/>
          <w:docGrid w:linePitch="360" w:charSpace="0"/>
        </w:sectPr>
      </w:pPr>
      <w:r>
        <w:rPr>
          <w:rStyle w:val="9"/>
          <w:rFonts w:hint="eastAsia"/>
        </w:rPr>
        <w:t>20</w:t>
      </w:r>
      <w:r>
        <w:rPr>
          <w:rStyle w:val="9"/>
          <w:rFonts w:hint="eastAsia"/>
          <w:lang w:val="en-US"/>
        </w:rPr>
        <w:t>20</w:t>
      </w:r>
      <w:r>
        <w:rPr>
          <w:rStyle w:val="9"/>
          <w:rFonts w:hint="eastAsia"/>
        </w:rPr>
        <w:t>年</w:t>
      </w:r>
      <w:r>
        <w:rPr>
          <w:rStyle w:val="9"/>
          <w:lang w:val="en-US"/>
        </w:rPr>
        <w:t>1</w:t>
      </w:r>
      <w:r>
        <w:rPr>
          <w:rStyle w:val="9"/>
        </w:rPr>
        <w:t>月</w:t>
      </w:r>
      <w:r>
        <w:rPr>
          <w:rStyle w:val="9"/>
          <w:rFonts w:hint="eastAsia"/>
          <w:lang w:val="en-US"/>
        </w:rPr>
        <w:t>2</w:t>
      </w:r>
      <w:r>
        <w:rPr>
          <w:rStyle w:val="9"/>
          <w:lang w:val="en-US"/>
        </w:rPr>
        <w:t>0</w:t>
      </w:r>
      <w:r>
        <w:rPr>
          <w:rStyle w:val="9"/>
          <w:rFonts w:hint="eastAsia"/>
          <w:lang w:val="en-US"/>
        </w:rPr>
        <w:t>日</w:t>
      </w:r>
    </w:p>
    <w:p w14:paraId="5960289B">
      <w:pPr>
        <w:spacing w:before="65" w:after="65" w:line="240" w:lineRule="exact"/>
        <w:rPr>
          <w:sz w:val="19"/>
          <w:szCs w:val="19"/>
        </w:rPr>
      </w:pPr>
    </w:p>
    <w:p w14:paraId="6D925E9F">
      <w:pPr>
        <w:rPr>
          <w:sz w:val="2"/>
          <w:szCs w:val="2"/>
        </w:rPr>
        <w:sectPr>
          <w:pgSz w:w="11900" w:h="16840"/>
          <w:pgMar w:top="1920" w:right="0" w:bottom="1775" w:left="0" w:header="0" w:footer="3" w:gutter="0"/>
          <w:cols w:space="720" w:num="1"/>
          <w:docGrid w:linePitch="360" w:charSpace="0"/>
        </w:sectPr>
      </w:pPr>
    </w:p>
    <w:p w14:paraId="7E61DE31">
      <w:pPr>
        <w:pStyle w:val="11"/>
        <w:shd w:val="clear" w:color="auto" w:fil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第一部分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部门概况</w:t>
      </w:r>
    </w:p>
    <w:p w14:paraId="1298C410">
      <w:pPr>
        <w:pStyle w:val="13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主要职责</w:t>
      </w:r>
    </w:p>
    <w:p w14:paraId="682A5000">
      <w:pPr>
        <w:pStyle w:val="13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3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部门预算单位构成</w:t>
      </w:r>
    </w:p>
    <w:p w14:paraId="485029C0">
      <w:pPr>
        <w:pStyle w:val="13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年度主要工作任务</w:t>
      </w:r>
    </w:p>
    <w:p w14:paraId="4FFB64F3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第二部分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年部门预算情况说明</w:t>
      </w:r>
    </w:p>
    <w:p w14:paraId="7B511C96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1.关于20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年财政拨款收支预算总体情况说明</w:t>
      </w:r>
    </w:p>
    <w:p w14:paraId="7336B339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2.关于20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年一般公共预算财政拨款情况说明</w:t>
      </w:r>
    </w:p>
    <w:p w14:paraId="083EAE7C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3.关于20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年一般公共预算基本支出情况说明</w:t>
      </w:r>
    </w:p>
    <w:p w14:paraId="5F62FAC4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4.关于20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年政府性基金预算拨款情况说明</w:t>
      </w:r>
    </w:p>
    <w:p w14:paraId="5B82EB65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5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年收支预算总体情况说明</w:t>
      </w:r>
    </w:p>
    <w:p w14:paraId="64508AF0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6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年收入预算情况说明</w:t>
      </w:r>
    </w:p>
    <w:p w14:paraId="0481D498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7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年支出预算情况说明</w:t>
      </w:r>
    </w:p>
    <w:p w14:paraId="76098776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年国有资本经营预算拨款情况说明</w:t>
      </w:r>
    </w:p>
    <w:p w14:paraId="1F514A8E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9.批复绩效目标的项目及绩效目标设置情况说明</w:t>
      </w:r>
    </w:p>
    <w:p w14:paraId="6CF4A3FF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10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 xml:space="preserve">.其他重要事项情况说明（含机关运行经费、政府采购预算、政府购买服务预算、国有资产占用情况等说明） </w:t>
      </w:r>
    </w:p>
    <w:p w14:paraId="74CC45C2">
      <w:pPr>
        <w:pStyle w:val="13"/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第三部分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Style w:val="15"/>
          <w:rFonts w:hint="eastAsia" w:ascii="仿宋" w:hAnsi="仿宋" w:eastAsia="仿宋" w:cs="仿宋"/>
          <w:sz w:val="32"/>
          <w:szCs w:val="32"/>
        </w:rPr>
        <w:t>名词解释</w:t>
      </w:r>
    </w:p>
    <w:p w14:paraId="3523B489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年部门预算表（附表）</w:t>
      </w:r>
    </w:p>
    <w:p w14:paraId="23107392">
      <w:pPr>
        <w:pStyle w:val="13"/>
        <w:numPr>
          <w:ilvl w:val="0"/>
          <w:numId w:val="2"/>
        </w:numPr>
        <w:shd w:val="clear" w:color="auto" w:fill="auto"/>
        <w:tabs>
          <w:tab w:val="left" w:pos="38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年部门财政拨款收支预算总表</w:t>
      </w:r>
    </w:p>
    <w:p w14:paraId="6017122F"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年部门一般公共预算支出预算表</w:t>
      </w:r>
    </w:p>
    <w:p w14:paraId="62160D23"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年部门一般公共预算基本支出预算表</w:t>
      </w:r>
    </w:p>
    <w:p w14:paraId="65C9B452"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年部门政府性基金预算支出预算表</w:t>
      </w:r>
    </w:p>
    <w:p w14:paraId="7E217397"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年部门收支预算总表</w:t>
      </w:r>
    </w:p>
    <w:p w14:paraId="1F7B882F"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年部门收入预算总表</w:t>
      </w:r>
    </w:p>
    <w:p w14:paraId="7134B3B0"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年部门支出预算总表</w:t>
      </w:r>
    </w:p>
    <w:p w14:paraId="6286FF97"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</w:t>
      </w:r>
      <w:r>
        <w:rPr>
          <w:rFonts w:hint="eastAsia" w:ascii="仿宋" w:hAnsi="仿宋" w:eastAsia="仿宋" w:cs="仿宋"/>
          <w:sz w:val="32"/>
          <w:szCs w:val="32"/>
        </w:rPr>
        <w:t>国有资本经营预算支出预算表</w:t>
      </w:r>
    </w:p>
    <w:p w14:paraId="38AACF30"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年部门政府采购预算表</w:t>
      </w:r>
    </w:p>
    <w:p w14:paraId="3E8D3C9E">
      <w:pPr>
        <w:pStyle w:val="13"/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10.20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年政府购买服务预算表</w:t>
      </w:r>
    </w:p>
    <w:p w14:paraId="7FC36E21">
      <w:pPr>
        <w:pStyle w:val="17"/>
        <w:shd w:val="clear" w:color="auto" w:fill="auto"/>
        <w:spacing w:after="81"/>
        <w:ind w:left="80"/>
      </w:pPr>
    </w:p>
    <w:p w14:paraId="673F5EA6">
      <w:pPr>
        <w:pStyle w:val="17"/>
        <w:shd w:val="clear" w:color="auto" w:fill="auto"/>
        <w:spacing w:after="81"/>
        <w:ind w:left="80"/>
      </w:pPr>
    </w:p>
    <w:p w14:paraId="63A877B2">
      <w:pPr>
        <w:pStyle w:val="17"/>
        <w:shd w:val="clear" w:color="auto" w:fill="auto"/>
        <w:spacing w:after="81"/>
        <w:ind w:left="80"/>
      </w:pPr>
    </w:p>
    <w:p w14:paraId="44651966">
      <w:pPr>
        <w:pStyle w:val="17"/>
        <w:shd w:val="clear" w:color="auto" w:fill="auto"/>
        <w:spacing w:after="81"/>
        <w:ind w:left="80"/>
      </w:pPr>
    </w:p>
    <w:p w14:paraId="7605D113">
      <w:pPr>
        <w:pStyle w:val="17"/>
        <w:shd w:val="clear" w:color="auto" w:fill="auto"/>
        <w:spacing w:after="81"/>
        <w:ind w:left="80"/>
      </w:pPr>
    </w:p>
    <w:p w14:paraId="29A4D000">
      <w:pPr>
        <w:pStyle w:val="17"/>
        <w:shd w:val="clear" w:color="auto" w:fill="auto"/>
        <w:spacing w:after="81"/>
        <w:ind w:left="80"/>
      </w:pPr>
    </w:p>
    <w:p w14:paraId="21B7DF8A">
      <w:pPr>
        <w:pStyle w:val="17"/>
        <w:shd w:val="clear" w:color="auto" w:fill="auto"/>
        <w:spacing w:after="81"/>
        <w:ind w:left="80"/>
      </w:pPr>
    </w:p>
    <w:p w14:paraId="0CD3A5D0">
      <w:pPr>
        <w:pStyle w:val="17"/>
        <w:shd w:val="clear" w:color="auto" w:fill="auto"/>
        <w:spacing w:after="81"/>
        <w:ind w:left="80"/>
      </w:pPr>
    </w:p>
    <w:p w14:paraId="37C89A25">
      <w:pPr>
        <w:pStyle w:val="17"/>
        <w:shd w:val="clear" w:color="auto" w:fill="auto"/>
        <w:spacing w:after="81"/>
        <w:ind w:left="80"/>
      </w:pPr>
    </w:p>
    <w:p w14:paraId="4C191798">
      <w:pPr>
        <w:pStyle w:val="17"/>
        <w:shd w:val="clear" w:color="auto" w:fill="auto"/>
        <w:spacing w:after="81"/>
        <w:ind w:left="80"/>
      </w:pPr>
    </w:p>
    <w:p w14:paraId="3A960EA5">
      <w:pPr>
        <w:pStyle w:val="17"/>
        <w:shd w:val="clear" w:color="auto" w:fill="auto"/>
        <w:spacing w:after="81"/>
        <w:ind w:left="80"/>
      </w:pPr>
    </w:p>
    <w:p w14:paraId="1E269ECD">
      <w:pPr>
        <w:pStyle w:val="17"/>
        <w:shd w:val="clear" w:color="auto" w:fill="auto"/>
        <w:spacing w:after="81"/>
        <w:ind w:left="80"/>
      </w:pPr>
    </w:p>
    <w:p w14:paraId="77EBAD7E">
      <w:pPr>
        <w:pStyle w:val="17"/>
        <w:shd w:val="clear" w:color="auto" w:fill="auto"/>
        <w:spacing w:after="81"/>
        <w:ind w:left="80"/>
      </w:pPr>
    </w:p>
    <w:p w14:paraId="0453B57A">
      <w:pPr>
        <w:pStyle w:val="17"/>
        <w:shd w:val="clear" w:color="auto" w:fill="auto"/>
        <w:spacing w:after="81"/>
        <w:ind w:left="80"/>
      </w:pPr>
    </w:p>
    <w:p w14:paraId="7435B970">
      <w:pPr>
        <w:pStyle w:val="17"/>
        <w:shd w:val="clear" w:color="auto" w:fill="auto"/>
        <w:spacing w:after="81"/>
        <w:ind w:left="80"/>
      </w:pPr>
    </w:p>
    <w:p w14:paraId="43D56087">
      <w:pPr>
        <w:pStyle w:val="17"/>
        <w:shd w:val="clear" w:color="auto" w:fill="auto"/>
        <w:spacing w:after="81"/>
        <w:ind w:left="80"/>
      </w:pPr>
    </w:p>
    <w:p w14:paraId="79D5608F">
      <w:pPr>
        <w:pStyle w:val="17"/>
        <w:shd w:val="clear" w:color="auto" w:fill="auto"/>
        <w:spacing w:after="81"/>
        <w:ind w:left="80"/>
      </w:pPr>
    </w:p>
    <w:p w14:paraId="40997048">
      <w:pPr>
        <w:pStyle w:val="17"/>
        <w:shd w:val="clear" w:color="auto" w:fill="auto"/>
        <w:spacing w:after="81"/>
        <w:ind w:left="80"/>
      </w:pPr>
    </w:p>
    <w:p w14:paraId="4E6DFBC6">
      <w:pPr>
        <w:pStyle w:val="17"/>
        <w:shd w:val="clear" w:color="auto" w:fill="auto"/>
        <w:spacing w:after="81"/>
        <w:ind w:left="80"/>
      </w:pPr>
    </w:p>
    <w:p w14:paraId="01CC690C">
      <w:pPr>
        <w:pStyle w:val="17"/>
        <w:shd w:val="clear" w:color="auto" w:fill="auto"/>
        <w:spacing w:after="81"/>
        <w:ind w:left="80"/>
      </w:pPr>
    </w:p>
    <w:p w14:paraId="1706472C">
      <w:pPr>
        <w:pStyle w:val="17"/>
        <w:shd w:val="clear" w:color="auto" w:fill="auto"/>
        <w:spacing w:after="81"/>
        <w:ind w:left="80"/>
      </w:pPr>
    </w:p>
    <w:p w14:paraId="457DF727">
      <w:pPr>
        <w:pStyle w:val="17"/>
        <w:shd w:val="clear" w:color="auto" w:fill="auto"/>
        <w:spacing w:after="81"/>
        <w:ind w:left="80"/>
      </w:pPr>
    </w:p>
    <w:p w14:paraId="15E7931F">
      <w:pPr>
        <w:pStyle w:val="17"/>
        <w:shd w:val="clear" w:color="auto" w:fill="auto"/>
        <w:spacing w:after="81"/>
        <w:ind w:left="80"/>
      </w:pPr>
    </w:p>
    <w:p w14:paraId="53C7D6C0">
      <w:pPr>
        <w:pStyle w:val="17"/>
        <w:shd w:val="clear" w:color="auto" w:fill="auto"/>
        <w:spacing w:after="81"/>
        <w:ind w:left="80"/>
      </w:pPr>
    </w:p>
    <w:p w14:paraId="3189E4C0">
      <w:pPr>
        <w:pStyle w:val="17"/>
        <w:shd w:val="clear" w:color="auto" w:fill="auto"/>
        <w:spacing w:after="81"/>
        <w:ind w:left="80"/>
      </w:pPr>
    </w:p>
    <w:p w14:paraId="40BD3D71">
      <w:pPr>
        <w:pStyle w:val="17"/>
        <w:shd w:val="clear" w:color="auto" w:fill="auto"/>
        <w:spacing w:after="81"/>
        <w:ind w:left="80"/>
      </w:pPr>
    </w:p>
    <w:p w14:paraId="270B087E">
      <w:pPr>
        <w:pStyle w:val="17"/>
        <w:shd w:val="clear" w:color="auto" w:fill="auto"/>
        <w:spacing w:after="81" w:line="360" w:lineRule="auto"/>
        <w:jc w:val="both"/>
      </w:pPr>
    </w:p>
    <w:p w14:paraId="54F42F35">
      <w:pPr>
        <w:pStyle w:val="17"/>
        <w:shd w:val="clear" w:color="auto" w:fill="auto"/>
        <w:spacing w:after="81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第一部分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Fonts w:hint="eastAsia" w:ascii="仿宋" w:hAnsi="仿宋" w:eastAsia="仿宋" w:cs="仿宋"/>
          <w:b/>
          <w:bCs/>
        </w:rPr>
        <w:t>部门概况</w:t>
      </w:r>
    </w:p>
    <w:p w14:paraId="0D4D13E0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主要职责</w:t>
      </w:r>
    </w:p>
    <w:p w14:paraId="37A84453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1、负责县直机关事务的日常管理、保障、服务工作。</w:t>
      </w:r>
    </w:p>
    <w:p w14:paraId="20D17223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2、负责县直党政机关公务用车日常管理，根据职责实行统一编制、统一标准、统一购置经费、统一配备更新、统一处置等工作。</w:t>
      </w:r>
    </w:p>
    <w:p w14:paraId="152C5B61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3、负责县直党政机关 办公用房统一日常管理工作：负责县直党政机关业务用房有关日常管理工作。</w:t>
      </w:r>
    </w:p>
    <w:p w14:paraId="1B108E79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4、根据有关规定，承担来我县领导的公务活动保障工作。</w:t>
      </w:r>
    </w:p>
    <w:p w14:paraId="0F5DFA48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5、承办县委和县政府交办的其他事项。</w:t>
      </w:r>
    </w:p>
    <w:p w14:paraId="71A73FD9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部门预算单位构成</w:t>
      </w:r>
    </w:p>
    <w:p w14:paraId="4D2303DE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zh-CN" w:eastAsia="zh-CN" w:bidi="zh-CN"/>
        </w:rPr>
        <w:t>县机关事务管理服务中心内设办公室、公车管理股、房产管理股、公务活动保障股</w:t>
      </w: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。</w:t>
      </w:r>
    </w:p>
    <w:tbl>
      <w:tblPr>
        <w:tblStyle w:val="2"/>
        <w:tblW w:w="9014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12"/>
        <w:gridCol w:w="3600"/>
        <w:gridCol w:w="4502"/>
      </w:tblGrid>
      <w:tr w14:paraId="49E3398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8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71309F0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7A620B7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单位名称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2F5E275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单位性质</w:t>
            </w:r>
          </w:p>
        </w:tc>
      </w:tr>
      <w:tr w14:paraId="365C6B9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0632C3D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1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84A0D31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600" w:firstLineChars="2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县机关事务管理服务中心中心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141A0E3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  <w:lang w:val="en-US"/>
              </w:rPr>
              <w:t>事业单位</w:t>
            </w:r>
          </w:p>
        </w:tc>
      </w:tr>
      <w:tr w14:paraId="78445C6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4ED0B9D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  <w:lang w:val="en-US"/>
              </w:rPr>
            </w:pPr>
            <w:r>
              <w:rPr>
                <w:rStyle w:val="45"/>
                <w:rFonts w:hint="eastAsia" w:ascii="仿宋" w:hAnsi="仿宋" w:eastAsia="仿宋" w:cs="仿宋"/>
                <w:lang w:val="en-US"/>
              </w:rPr>
              <w:t>2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5C37EB76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  <w:lang w:val="en-US"/>
              </w:rPr>
            </w:pP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7EA816C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</w:rPr>
            </w:pPr>
          </w:p>
        </w:tc>
      </w:tr>
      <w:tr w14:paraId="7F1E00F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5447F63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  <w:lang w:val="en-US"/>
              </w:rPr>
            </w:pPr>
            <w:r>
              <w:rPr>
                <w:rStyle w:val="45"/>
                <w:rFonts w:hint="eastAsia" w:ascii="仿宋" w:hAnsi="仿宋" w:eastAsia="仿宋" w:cs="仿宋"/>
                <w:lang w:val="en-US"/>
              </w:rPr>
              <w:t>3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D96DFB1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  <w:lang w:val="en-US"/>
              </w:rPr>
            </w:pP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88B5E34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  <w:lang w:val="en-US"/>
              </w:rPr>
            </w:pPr>
          </w:p>
        </w:tc>
      </w:tr>
    </w:tbl>
    <w:p w14:paraId="04EDDB9B">
      <w:pPr>
        <w:framePr w:w="9014" w:wrap="notBeside" w:vAnchor="text" w:hAnchor="page" w:x="1416" w:y="1991"/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</w:p>
    <w:p w14:paraId="3973E3C5">
      <w:pPr>
        <w:pStyle w:val="13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中心无</w:t>
      </w:r>
      <w:r>
        <w:rPr>
          <w:rFonts w:hint="eastAsia" w:ascii="仿宋" w:hAnsi="仿宋" w:eastAsia="仿宋" w:cs="仿宋"/>
          <w:sz w:val="32"/>
          <w:szCs w:val="32"/>
        </w:rPr>
        <w:t>下属预算单位，20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 xml:space="preserve">年度部门预算由本级预算组成，纳入部门预算编制范围的单位共 1 个，具体情 况见下表。 </w:t>
      </w:r>
    </w:p>
    <w:p w14:paraId="2570A604">
      <w:pPr>
        <w:pStyle w:val="11"/>
        <w:shd w:val="clear" w:color="auto" w:fill="auto"/>
        <w:spacing w:before="694" w:after="65" w:line="360" w:lineRule="auto"/>
        <w:ind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年度主要工作任务</w:t>
      </w:r>
    </w:p>
    <w:p w14:paraId="0D864C4A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坚持以习近平新时代中国特色社会主义思想为指导，深入学习宣传贯彻党的十九大、十九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届</w:t>
      </w:r>
      <w:r>
        <w:rPr>
          <w:rFonts w:hint="eastAsia" w:ascii="仿宋" w:hAnsi="仿宋" w:eastAsia="仿宋" w:cs="仿宋"/>
          <w:sz w:val="32"/>
          <w:szCs w:val="32"/>
        </w:rPr>
        <w:t>四中全会精神</w:t>
      </w:r>
      <w:r>
        <w:rPr>
          <w:rFonts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围绕</w:t>
      </w:r>
      <w:r>
        <w:rPr>
          <w:rFonts w:ascii="仿宋" w:hAnsi="仿宋" w:eastAsia="仿宋" w:cs="仿宋"/>
          <w:sz w:val="32"/>
          <w:szCs w:val="32"/>
        </w:rPr>
        <w:t>机关事务管理工作的职能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ascii="仿宋" w:hAnsi="仿宋" w:eastAsia="仿宋" w:cs="仿宋"/>
          <w:sz w:val="32"/>
          <w:szCs w:val="32"/>
        </w:rPr>
        <w:t>加强党政机关</w:t>
      </w:r>
      <w:r>
        <w:rPr>
          <w:rFonts w:hint="eastAsia" w:ascii="Times New Roman" w:hAnsi="Times New Roman" w:eastAsia="仿宋_GB2312"/>
          <w:sz w:val="32"/>
          <w:szCs w:val="32"/>
          <w:lang w:bidi="ar"/>
        </w:rPr>
        <w:t>公务用</w:t>
      </w:r>
      <w:bookmarkStart w:id="0" w:name="_GoBack"/>
      <w:bookmarkEnd w:id="0"/>
      <w:r>
        <w:rPr>
          <w:rFonts w:hint="eastAsia" w:ascii="Times New Roman" w:hAnsi="Times New Roman" w:eastAsia="仿宋_GB2312"/>
          <w:sz w:val="32"/>
          <w:szCs w:val="32"/>
          <w:lang w:bidi="ar"/>
        </w:rPr>
        <w:t>车</w:t>
      </w:r>
      <w:r>
        <w:rPr>
          <w:rFonts w:ascii="Times New Roman" w:hAnsi="Times New Roman" w:eastAsia="仿宋_GB2312"/>
          <w:sz w:val="32"/>
          <w:szCs w:val="32"/>
          <w:lang w:bidi="ar"/>
        </w:rPr>
        <w:t>、</w:t>
      </w:r>
      <w:r>
        <w:rPr>
          <w:rFonts w:hint="eastAsia" w:ascii="Times New Roman" w:hAnsi="Times New Roman" w:eastAsia="仿宋_GB2312"/>
          <w:sz w:val="32"/>
          <w:szCs w:val="32"/>
          <w:lang w:bidi="ar"/>
        </w:rPr>
        <w:t>办公用房的</w:t>
      </w:r>
      <w:r>
        <w:rPr>
          <w:rFonts w:ascii="Times New Roman" w:hAnsi="Times New Roman" w:eastAsia="仿宋_GB2312"/>
          <w:sz w:val="32"/>
          <w:szCs w:val="32"/>
          <w:lang w:bidi="ar"/>
        </w:rPr>
        <w:t>管理工作</w:t>
      </w:r>
      <w:r>
        <w:rPr>
          <w:rFonts w:hint="eastAsia" w:ascii="Times New Roman" w:hAnsi="Times New Roman" w:eastAsia="仿宋_GB2312"/>
          <w:sz w:val="32"/>
          <w:szCs w:val="32"/>
          <w:lang w:bidi="ar"/>
        </w:rPr>
        <w:t>和县级</w:t>
      </w:r>
      <w:r>
        <w:rPr>
          <w:rFonts w:ascii="Times New Roman" w:hAnsi="Times New Roman" w:eastAsia="仿宋_GB2312"/>
          <w:sz w:val="32"/>
          <w:szCs w:val="32"/>
          <w:lang w:bidi="ar"/>
        </w:rPr>
        <w:t>公务活动的保障</w:t>
      </w:r>
      <w:r>
        <w:rPr>
          <w:rFonts w:hint="eastAsia" w:ascii="仿宋" w:hAnsi="仿宋" w:eastAsia="仿宋" w:cs="仿宋"/>
          <w:sz w:val="32"/>
          <w:szCs w:val="32"/>
        </w:rPr>
        <w:t>工作</w:t>
      </w:r>
      <w:r>
        <w:rPr>
          <w:rFonts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抓好党风廉政建设</w:t>
      </w:r>
      <w:r>
        <w:rPr>
          <w:rFonts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继续做好平安石台、双拥、法制宣传教育依法治理、计划生育、脱贫攻坚、精神文明建设等工作和县委、县政府交办的其它各项工作。</w:t>
      </w:r>
    </w:p>
    <w:p w14:paraId="2E9EDB8C">
      <w:pPr>
        <w:pStyle w:val="17"/>
        <w:shd w:val="clear" w:color="auto" w:fill="auto"/>
        <w:spacing w:after="0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第二部分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Style w:val="19"/>
          <w:rFonts w:hint="eastAsia" w:ascii="仿宋" w:hAnsi="仿宋" w:eastAsia="仿宋" w:cs="仿宋"/>
          <w:b/>
          <w:bCs/>
          <w:sz w:val="32"/>
          <w:szCs w:val="32"/>
        </w:rPr>
        <w:t>20</w:t>
      </w:r>
      <w:r>
        <w:rPr>
          <w:rStyle w:val="19"/>
          <w:rFonts w:hint="eastAsia" w:ascii="仿宋" w:hAnsi="仿宋" w:eastAsia="仿宋" w:cs="仿宋"/>
          <w:b/>
          <w:bCs/>
          <w:sz w:val="32"/>
          <w:szCs w:val="32"/>
          <w:lang w:val="en-US"/>
        </w:rPr>
        <w:t>20</w:t>
      </w:r>
      <w:r>
        <w:rPr>
          <w:rStyle w:val="19"/>
          <w:rFonts w:hint="eastAsia" w:ascii="仿宋" w:hAnsi="仿宋" w:eastAsia="仿宋" w:cs="仿宋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/>
        </w:rPr>
        <w:t>部门预算情况说明</w:t>
      </w:r>
    </w:p>
    <w:p w14:paraId="17A0BAA2">
      <w:pPr>
        <w:pStyle w:val="11"/>
        <w:shd w:val="clear" w:color="auto" w:fill="auto"/>
        <w:tabs>
          <w:tab w:val="left" w:pos="1473"/>
        </w:tabs>
        <w:spacing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41"/>
          <w:rFonts w:hint="eastAsia" w:ascii="仿宋" w:hAnsi="仿宋" w:eastAsia="仿宋" w:cs="仿宋"/>
          <w:b w:val="0"/>
          <w:bCs w:val="0"/>
          <w:sz w:val="32"/>
          <w:szCs w:val="32"/>
        </w:rPr>
        <w:t>一、</w:t>
      </w:r>
      <w:r>
        <w:rPr>
          <w:rStyle w:val="41"/>
          <w:rFonts w:hint="eastAsia" w:ascii="仿宋" w:hAnsi="仿宋" w:eastAsia="仿宋" w:cs="仿宋"/>
          <w:b w:val="0"/>
          <w:bCs w:val="0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年财政拨款收支预算总体情况说明</w:t>
      </w:r>
    </w:p>
    <w:p w14:paraId="066F9776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年财政拨款收支预算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万元。收入按资金来源分为：一般公共预算拨款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万元；按资金年度分为：当年财政拨款收入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万元。支出按功能分类分为：社会保障和就业支出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2.2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1.3</w:t>
      </w:r>
      <w:r>
        <w:rPr>
          <w:rFonts w:hint="eastAsia" w:ascii="仿宋" w:hAnsi="仿宋" w:eastAsia="仿宋" w:cs="仿宋"/>
          <w:sz w:val="32"/>
          <w:szCs w:val="32"/>
        </w:rPr>
        <w:t>%;医疗卫生与计划生育支出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0.95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0.56</w:t>
      </w:r>
      <w:r>
        <w:rPr>
          <w:rFonts w:hint="eastAsia" w:ascii="仿宋" w:hAnsi="仿宋" w:eastAsia="仿宋" w:cs="仿宋"/>
          <w:sz w:val="32"/>
          <w:szCs w:val="32"/>
        </w:rPr>
        <w:t>%;住房保障支出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1.7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%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...</w:t>
      </w:r>
    </w:p>
    <w:p w14:paraId="488720A0">
      <w:pPr>
        <w:pStyle w:val="11"/>
        <w:shd w:val="clear" w:color="auto" w:fill="auto"/>
        <w:tabs>
          <w:tab w:val="left" w:pos="1473"/>
        </w:tabs>
        <w:spacing w:after="0"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42"/>
          <w:rFonts w:hint="eastAsia" w:ascii="仿宋" w:hAnsi="仿宋" w:eastAsia="仿宋" w:cs="仿宋"/>
          <w:b w:val="0"/>
          <w:bCs w:val="0"/>
          <w:sz w:val="32"/>
          <w:szCs w:val="32"/>
        </w:rPr>
        <w:t>二、</w:t>
      </w:r>
      <w:r>
        <w:rPr>
          <w:rStyle w:val="42"/>
          <w:rFonts w:hint="eastAsia" w:ascii="仿宋" w:hAnsi="仿宋" w:eastAsia="仿宋" w:cs="仿宋"/>
          <w:b w:val="0"/>
          <w:bCs w:val="0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年一般公共预算拨款情况说明</w:t>
      </w:r>
    </w:p>
    <w:p w14:paraId="1CD5E646">
      <w:pPr>
        <w:pStyle w:val="44"/>
        <w:shd w:val="clear" w:color="auto" w:fill="auto"/>
        <w:tabs>
          <w:tab w:val="left" w:pos="1573"/>
        </w:tabs>
        <w:spacing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（一）一般公共预算拨款规模变化情况。</w:t>
      </w:r>
    </w:p>
    <w:p w14:paraId="16F8F1F1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年一般公共预算拨款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.</w:t>
      </w:r>
    </w:p>
    <w:p w14:paraId="5CA8C17B">
      <w:pPr>
        <w:pStyle w:val="44"/>
        <w:shd w:val="clear" w:color="auto" w:fill="auto"/>
        <w:tabs>
          <w:tab w:val="left" w:pos="1578"/>
        </w:tabs>
        <w:spacing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（二）一般公共预算拨款结构情况。</w:t>
      </w:r>
    </w:p>
    <w:p w14:paraId="2787704A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zh-CN" w:eastAsia="zh-CN" w:bidi="zh-CN"/>
        </w:rPr>
        <w:t>一般公共服务支出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en-US" w:eastAsia="zh-CN" w:bidi="zh-CN"/>
        </w:rPr>
        <w:t>164.38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zh-CN" w:eastAsia="zh-CN" w:bidi="zh-CN"/>
        </w:rPr>
        <w:t>万元，占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en-US" w:eastAsia="zh-CN" w:bidi="zh-CN"/>
        </w:rPr>
        <w:t>97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zh-CN" w:eastAsia="zh-CN" w:bidi="zh-CN"/>
        </w:rPr>
        <w:t>%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en-US" w:eastAsia="zh-CN" w:bidi="zh-CN"/>
        </w:rPr>
        <w:t>:</w:t>
      </w:r>
      <w:r>
        <w:rPr>
          <w:rFonts w:hint="eastAsia" w:ascii="仿宋" w:hAnsi="仿宋" w:eastAsia="仿宋" w:cs="仿宋"/>
          <w:sz w:val="32"/>
          <w:szCs w:val="32"/>
        </w:rPr>
        <w:t>社会保障和就业支出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2.2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1.3</w:t>
      </w:r>
      <w:r>
        <w:rPr>
          <w:rFonts w:hint="eastAsia" w:ascii="仿宋" w:hAnsi="仿宋" w:eastAsia="仿宋" w:cs="仿宋"/>
          <w:sz w:val="32"/>
          <w:szCs w:val="32"/>
        </w:rPr>
        <w:t>%;医疗卫生与计划生育支出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0.95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0.56</w:t>
      </w:r>
      <w:r>
        <w:rPr>
          <w:rFonts w:hint="eastAsia" w:ascii="仿宋" w:hAnsi="仿宋" w:eastAsia="仿宋" w:cs="仿宋"/>
          <w:sz w:val="32"/>
          <w:szCs w:val="32"/>
        </w:rPr>
        <w:t>%;住房保障支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1.7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%。</w:t>
      </w:r>
    </w:p>
    <w:p w14:paraId="06E9F0CF">
      <w:pPr>
        <w:pStyle w:val="44"/>
        <w:shd w:val="clear" w:color="auto" w:fill="auto"/>
        <w:tabs>
          <w:tab w:val="left" w:pos="1578"/>
        </w:tabs>
        <w:spacing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（三）一般公共预算拨款具体使用情况。</w:t>
      </w:r>
    </w:p>
    <w:p w14:paraId="0C7A7B4F">
      <w:pPr>
        <w:pStyle w:val="13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 w:firstLine="76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Style w:val="15"/>
          <w:rFonts w:hint="eastAsia" w:ascii="仿宋" w:hAnsi="仿宋" w:eastAsia="仿宋" w:cs="仿宋"/>
          <w:sz w:val="32"/>
          <w:szCs w:val="32"/>
          <w:lang w:val="en-US" w:bidi="en-US"/>
        </w:rPr>
        <w:t>1. 1.“</w:t>
      </w:r>
      <w:r>
        <w:rPr>
          <w:rStyle w:val="15"/>
          <w:rFonts w:hint="eastAsia" w:ascii="仿宋" w:hAnsi="仿宋" w:eastAsia="仿宋" w:cs="仿宋"/>
          <w:sz w:val="32"/>
          <w:szCs w:val="32"/>
        </w:rPr>
        <w:t>一般公共服务支出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”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164.38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97</w:t>
      </w:r>
      <w:r>
        <w:rPr>
          <w:rFonts w:hint="eastAsia" w:ascii="仿宋" w:hAnsi="仿宋" w:eastAsia="仿宋" w:cs="仿宋"/>
          <w:sz w:val="32"/>
          <w:szCs w:val="32"/>
        </w:rPr>
        <w:t>%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.</w:t>
      </w:r>
    </w:p>
    <w:p w14:paraId="68FC60B0">
      <w:pPr>
        <w:pStyle w:val="13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Style w:val="15"/>
          <w:rFonts w:hint="eastAsia" w:ascii="仿宋" w:hAnsi="仿宋" w:eastAsia="仿宋" w:cs="仿宋"/>
          <w:sz w:val="32"/>
          <w:szCs w:val="32"/>
        </w:rPr>
        <w:t xml:space="preserve">“社会保障和就业支出”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2.2</w:t>
      </w:r>
      <w:r>
        <w:rPr>
          <w:rFonts w:hint="eastAsia" w:ascii="仿宋" w:hAnsi="仿宋" w:eastAsia="仿宋" w:cs="仿宋"/>
          <w:sz w:val="32"/>
          <w:szCs w:val="32"/>
        </w:rPr>
        <w:t>万元。其中：“机关事业单位基本养老保险 缴费支出”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2.2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在职人员养老保险缴费；</w:t>
      </w:r>
      <w:r>
        <w:rPr>
          <w:rFonts w:hint="eastAsia" w:ascii="仿宋" w:hAnsi="仿宋" w:eastAsia="仿宋" w:cs="仿宋"/>
          <w:sz w:val="32"/>
          <w:szCs w:val="32"/>
        </w:rPr>
        <w:t>“财政对工伤保险基金的补助”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0.14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在职人员工伤保险缴费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77FC3407">
      <w:pPr>
        <w:pStyle w:val="13"/>
        <w:numPr>
          <w:ilvl w:val="0"/>
          <w:numId w:val="0"/>
        </w:numPr>
        <w:shd w:val="clear" w:color="auto" w:fill="auto"/>
        <w:tabs>
          <w:tab w:val="left" w:pos="1107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3.</w:t>
      </w:r>
      <w:r>
        <w:rPr>
          <w:rStyle w:val="15"/>
          <w:rFonts w:hint="eastAsia" w:ascii="仿宋" w:hAnsi="仿宋" w:eastAsia="仿宋" w:cs="仿宋"/>
          <w:sz w:val="32"/>
          <w:szCs w:val="32"/>
        </w:rPr>
        <w:t>“医疗卫生与计划生育支出</w:t>
      </w:r>
      <w:r>
        <w:rPr>
          <w:rFonts w:hint="eastAsia" w:ascii="仿宋" w:hAnsi="仿宋" w:eastAsia="仿宋" w:cs="仿宋"/>
          <w:sz w:val="32"/>
          <w:szCs w:val="32"/>
        </w:rPr>
        <w:t>” 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0.95</w:t>
      </w:r>
      <w:r>
        <w:rPr>
          <w:rFonts w:hint="eastAsia" w:ascii="仿宋" w:hAnsi="仿宋" w:eastAsia="仿宋" w:cs="仿宋"/>
          <w:sz w:val="32"/>
          <w:szCs w:val="32"/>
        </w:rPr>
        <w:t>万元，“行政单位医疗”预算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0.95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职工医疗保险缴费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63620C62">
      <w:pPr>
        <w:pStyle w:val="13"/>
        <w:numPr>
          <w:ilvl w:val="0"/>
          <w:numId w:val="0"/>
        </w:numPr>
        <w:shd w:val="clear" w:color="auto" w:fill="auto"/>
        <w:tabs>
          <w:tab w:val="left" w:pos="1107"/>
        </w:tabs>
        <w:spacing w:before="0" w:after="0" w:line="360" w:lineRule="auto"/>
        <w:ind w:firstLine="763" w:firstLineChars="200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4.</w:t>
      </w:r>
      <w:r>
        <w:rPr>
          <w:rStyle w:val="15"/>
          <w:rFonts w:hint="eastAsia" w:ascii="仿宋" w:hAnsi="仿宋" w:eastAsia="仿宋" w:cs="仿宋"/>
          <w:sz w:val="32"/>
          <w:szCs w:val="32"/>
        </w:rPr>
        <w:t xml:space="preserve">“住房保障支出”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1.7</w:t>
      </w:r>
      <w:r>
        <w:rPr>
          <w:rFonts w:hint="eastAsia" w:ascii="仿宋" w:hAnsi="仿宋" w:eastAsia="仿宋" w:cs="仿宋"/>
          <w:sz w:val="32"/>
          <w:szCs w:val="32"/>
        </w:rPr>
        <w:t>万元，其中：“住房公积金”预算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1.7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职工住房公积金缴费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13095BF5">
      <w:pPr>
        <w:pStyle w:val="11"/>
        <w:shd w:val="clear" w:color="auto" w:fill="auto"/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年一般公共预算基本支出情况说明</w:t>
      </w:r>
    </w:p>
    <w:p w14:paraId="0CE2F384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年一般公共预算基本支出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23.13</w:t>
      </w:r>
      <w:r>
        <w:rPr>
          <w:rFonts w:hint="eastAsia" w:ascii="仿宋" w:hAnsi="仿宋" w:eastAsia="仿宋" w:cs="仿宋"/>
          <w:sz w:val="32"/>
          <w:szCs w:val="32"/>
        </w:rPr>
        <w:t>万元，其中：</w:t>
      </w:r>
    </w:p>
    <w:p w14:paraId="7BF36880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工资福利支出，主要包括：基本工资、津贴补贴、奖金、机关事业单位基本养老保险缴费、城镇职工基本医疗保险缴费、其他社会保障缴费、住房公积金、医疗费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...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73E5E17E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商品和服务支出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4.5</w:t>
      </w:r>
      <w:r>
        <w:rPr>
          <w:rFonts w:hint="eastAsia" w:ascii="仿宋" w:hAnsi="仿宋" w:eastAsia="仿宋" w:cs="仿宋"/>
          <w:sz w:val="32"/>
          <w:szCs w:val="32"/>
        </w:rPr>
        <w:t>万元，主要包括：办公费、印刷费、邮电费、差旅费、培训费、工会经费、福利费、其他交通费用、其他商品和服务支出。</w:t>
      </w:r>
    </w:p>
    <w:p w14:paraId="37294145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对个人和家庭的补助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0.01</w:t>
      </w:r>
      <w:r>
        <w:rPr>
          <w:rFonts w:hint="eastAsia" w:ascii="仿宋" w:hAnsi="仿宋" w:eastAsia="仿宋" w:cs="仿宋"/>
          <w:sz w:val="32"/>
          <w:szCs w:val="32"/>
        </w:rPr>
        <w:t>万元，主要包括：退休费、医疗费补助、其他对个人和家庭的补助支出。</w:t>
      </w:r>
    </w:p>
    <w:p w14:paraId="509A5F41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年政府性基金预算拨款情况说明</w:t>
      </w:r>
    </w:p>
    <w:p w14:paraId="6D18476D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没有</w:t>
      </w:r>
      <w:r>
        <w:rPr>
          <w:rFonts w:hint="eastAsia" w:ascii="仿宋" w:hAnsi="仿宋" w:eastAsia="仿宋" w:cs="仿宋"/>
          <w:sz w:val="32"/>
          <w:szCs w:val="32"/>
        </w:rPr>
        <w:t>政府性基金预算拨款收入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和也没有使用</w:t>
      </w:r>
      <w:r>
        <w:rPr>
          <w:rFonts w:hint="eastAsia" w:ascii="仿宋" w:hAnsi="仿宋" w:eastAsia="仿宋" w:cs="仿宋"/>
          <w:sz w:val="32"/>
          <w:szCs w:val="32"/>
        </w:rPr>
        <w:t>政府性基金预算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拨款安排支出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49F6BD2F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年收支预算总体情况说明</w:t>
      </w:r>
    </w:p>
    <w:p w14:paraId="535A0C84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按照综合预算管理原则，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所有收入和支出均纳入部门预算管理。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年收支总预算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万元，收入为一般公共预算拨款收入，支出包括：社会保障支出</w:t>
      </w:r>
      <w:r>
        <w:rPr>
          <w:rFonts w:hint="eastAsia" w:ascii="仿宋" w:hAnsi="仿宋" w:eastAsia="仿宋" w:cs="仿宋"/>
          <w:sz w:val="32"/>
          <w:szCs w:val="32"/>
          <w:lang w:val="en-US" w:bidi="en-US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医疗卫生与计划生育支出、住房保障支出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...</w:t>
      </w:r>
      <w:r>
        <w:rPr>
          <w:rFonts w:hint="eastAsia" w:ascii="仿宋" w:hAnsi="仿宋" w:eastAsia="仿宋" w:cs="仿宋"/>
          <w:sz w:val="32"/>
          <w:szCs w:val="32"/>
        </w:rPr>
        <w:t>等。</w:t>
      </w:r>
    </w:p>
    <w:p w14:paraId="6230BCAA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年收入预算情况说明</w:t>
      </w:r>
    </w:p>
    <w:p w14:paraId="6793EE24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年收入预算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万元，其中： 一般公共预算拨款收入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万元，占100%。</w:t>
      </w:r>
    </w:p>
    <w:p w14:paraId="4979525C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七、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年支出预算情况说明</w:t>
      </w:r>
    </w:p>
    <w:p w14:paraId="349D1D36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年支出预算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万元，其中，基本支出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23.16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13.7</w:t>
      </w:r>
      <w:r>
        <w:rPr>
          <w:rFonts w:hint="eastAsia" w:ascii="仿宋" w:hAnsi="仿宋" w:eastAsia="仿宋" w:cs="仿宋"/>
          <w:sz w:val="32"/>
          <w:szCs w:val="32"/>
        </w:rPr>
        <w:t>%,主要用于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人员和日常公用经费</w:t>
      </w:r>
      <w:r>
        <w:rPr>
          <w:rFonts w:hint="eastAsia" w:ascii="仿宋" w:hAnsi="仿宋" w:eastAsia="仿宋" w:cs="仿宋"/>
          <w:sz w:val="32"/>
          <w:szCs w:val="32"/>
        </w:rPr>
        <w:t>；项目支出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146.08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86.3</w:t>
      </w:r>
      <w:r>
        <w:rPr>
          <w:rFonts w:hint="eastAsia" w:ascii="仿宋" w:hAnsi="仿宋" w:eastAsia="仿宋" w:cs="仿宋"/>
          <w:sz w:val="32"/>
          <w:szCs w:val="32"/>
        </w:rPr>
        <w:t>%,主要用于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用于公务用车经费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4F79046A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年国有资本经营预算拨款情况说明</w:t>
      </w:r>
    </w:p>
    <w:p w14:paraId="44367D23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年没有国有资本经营预算拨款收入，也没有使用国有资本经营预算拨款安排的支出。</w:t>
      </w:r>
    </w:p>
    <w:p w14:paraId="4A02AAEE">
      <w:pPr>
        <w:pStyle w:val="13"/>
        <w:numPr>
          <w:ilvl w:val="0"/>
          <w:numId w:val="3"/>
        </w:numPr>
        <w:shd w:val="clear" w:color="auto" w:fill="auto"/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项目绩效目标设置情况说明</w:t>
      </w:r>
    </w:p>
    <w:p w14:paraId="51E5A106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年按照规定设置绩效目标的项目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个。</w:t>
      </w:r>
    </w:p>
    <w:p w14:paraId="569E3198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十、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其他重要事项情况说明</w:t>
      </w:r>
    </w:p>
    <w:p w14:paraId="273134AE">
      <w:pPr>
        <w:pStyle w:val="11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机关运行经费。</w:t>
      </w:r>
    </w:p>
    <w:p w14:paraId="17B9440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firstLine="0"/>
        <w:jc w:val="left"/>
        <w:textAlignment w:val="auto"/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zh-CN" w:eastAsia="zh-CN" w:bidi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年机关运行经费财政拨款预算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4.5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en-US" w:eastAsia="zh-CN" w:bidi="zh-CN"/>
        </w:rPr>
        <w:t xml:space="preserve">。主要用于办公费0.83万元,公务接待费3万元，差旅费0.3万元其它商品和服务支出0.37，合计4.5万元。 </w:t>
      </w:r>
    </w:p>
    <w:p w14:paraId="320B9CD4">
      <w:pPr>
        <w:pStyle w:val="11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政府采购情况。</w:t>
      </w:r>
    </w:p>
    <w:p w14:paraId="747F2831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年政府采购预算总额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126</w:t>
      </w:r>
      <w:r>
        <w:rPr>
          <w:rFonts w:hint="eastAsia" w:ascii="仿宋" w:hAnsi="仿宋" w:eastAsia="仿宋" w:cs="仿宋"/>
          <w:sz w:val="32"/>
          <w:szCs w:val="32"/>
        </w:rPr>
        <w:t>万元。其中：政府采购货物预算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126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 w14:paraId="06576E79">
      <w:pPr>
        <w:pStyle w:val="11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国有资产占用使用情况。</w:t>
      </w:r>
    </w:p>
    <w:p w14:paraId="6ACEA7E1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机关事务管理服务中心</w:t>
      </w:r>
      <w:r>
        <w:rPr>
          <w:rFonts w:hint="eastAsia" w:ascii="仿宋" w:hAnsi="仿宋" w:eastAsia="仿宋" w:cs="仿宋"/>
          <w:sz w:val="32"/>
          <w:szCs w:val="32"/>
        </w:rPr>
        <w:t>有公务用车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56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辆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没有</w:t>
      </w:r>
      <w:r>
        <w:rPr>
          <w:rFonts w:hint="eastAsia" w:ascii="仿宋" w:hAnsi="仿宋" w:eastAsia="仿宋" w:cs="仿宋"/>
          <w:sz w:val="32"/>
          <w:szCs w:val="32"/>
        </w:rPr>
        <w:t>单位价值50万元以上的通用设备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没有</w:t>
      </w:r>
      <w:r>
        <w:rPr>
          <w:rFonts w:hint="eastAsia" w:ascii="仿宋" w:hAnsi="仿宋" w:eastAsia="仿宋" w:cs="仿宋"/>
          <w:sz w:val="32"/>
          <w:szCs w:val="32"/>
        </w:rPr>
        <w:t>价值100万元以上的专用设备。</w:t>
      </w:r>
    </w:p>
    <w:p w14:paraId="7E0F9252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年部门预算安排公务用车购置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126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万元，购置公务用车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辆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没有</w:t>
      </w:r>
      <w:r>
        <w:rPr>
          <w:rFonts w:hint="eastAsia" w:ascii="仿宋" w:hAnsi="仿宋" w:eastAsia="仿宋" w:cs="仿宋"/>
          <w:sz w:val="32"/>
          <w:szCs w:val="32"/>
        </w:rPr>
        <w:t>安排购置单位价值50万元以上的通用设备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没有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安排购置</w:t>
      </w:r>
      <w:r>
        <w:rPr>
          <w:rFonts w:hint="eastAsia" w:ascii="仿宋" w:hAnsi="仿宋" w:eastAsia="仿宋" w:cs="仿宋"/>
          <w:sz w:val="32"/>
          <w:szCs w:val="32"/>
        </w:rPr>
        <w:t>单位价值100万元以上专用设备。</w:t>
      </w:r>
    </w:p>
    <w:p w14:paraId="49F488EE">
      <w:pPr>
        <w:pStyle w:val="17"/>
        <w:shd w:val="clear" w:color="auto" w:fill="auto"/>
        <w:spacing w:after="0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第三部分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Fonts w:hint="eastAsia" w:ascii="仿宋" w:hAnsi="仿宋" w:eastAsia="仿宋" w:cs="仿宋"/>
          <w:b/>
          <w:bCs/>
        </w:rPr>
        <w:t>名词解释</w:t>
      </w:r>
    </w:p>
    <w:p w14:paraId="6C9DF40D">
      <w:pPr>
        <w:pStyle w:val="13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一、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财政拨款收入：</w:t>
      </w:r>
      <w:r>
        <w:rPr>
          <w:rFonts w:hint="eastAsia" w:ascii="仿宋" w:hAnsi="仿宋" w:eastAsia="仿宋" w:cs="仿宋"/>
          <w:sz w:val="32"/>
          <w:szCs w:val="32"/>
        </w:rPr>
        <w:t>指市财政当年拨付的资金，主要包括一般 公共预算拨款收入和政府性基金拨款收入。</w:t>
      </w:r>
    </w:p>
    <w:p w14:paraId="3EF04A1E">
      <w:pPr>
        <w:pStyle w:val="13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二、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基本支出：</w:t>
      </w:r>
      <w:r>
        <w:rPr>
          <w:rFonts w:hint="eastAsia" w:ascii="仿宋" w:hAnsi="仿宋" w:eastAsia="仿宋" w:cs="仿宋"/>
          <w:sz w:val="32"/>
          <w:szCs w:val="32"/>
        </w:rPr>
        <w:t>指为保障机构正常运转、完成日常工作任务而发生的人员支出和公用支出。</w:t>
      </w:r>
    </w:p>
    <w:p w14:paraId="7233AA0A">
      <w:pPr>
        <w:pStyle w:val="13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三、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项目支出：</w:t>
      </w:r>
      <w:r>
        <w:rPr>
          <w:rFonts w:hint="eastAsia" w:ascii="仿宋" w:hAnsi="仿宋" w:eastAsia="仿宋" w:cs="仿宋"/>
          <w:sz w:val="32"/>
          <w:szCs w:val="32"/>
        </w:rPr>
        <w:t>指在基本支出之外为完成特定行政任务和事业 发展目标所发生的支出。</w:t>
      </w:r>
    </w:p>
    <w:p w14:paraId="6ED9CABA">
      <w:pPr>
        <w:pStyle w:val="13"/>
        <w:shd w:val="clear" w:color="auto" w:fill="auto"/>
        <w:tabs>
          <w:tab w:val="left" w:pos="1280"/>
        </w:tabs>
        <w:spacing w:before="0" w:after="0" w:line="360" w:lineRule="auto"/>
        <w:ind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四、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机关运行经费：</w:t>
      </w:r>
      <w:r>
        <w:rPr>
          <w:rFonts w:hint="eastAsia" w:ascii="仿宋" w:hAnsi="仿宋" w:eastAsia="仿宋" w:cs="仿宋"/>
          <w:sz w:val="32"/>
          <w:szCs w:val="32"/>
        </w:rPr>
        <w:t>指各部门的公用经费，包括办公及印刷费、 邮电费、差旅费、会议费、福利费、日常维修费、专用材料及一般设备购置费、办公用房水电费、办公用房取暖费、办公用房物业管理费、公务用车运行维护费以及其他费用。</w:t>
      </w:r>
    </w:p>
    <w:p w14:paraId="73CE49CE">
      <w:pPr>
        <w:pStyle w:val="11"/>
        <w:shd w:val="clear" w:color="auto" w:fill="auto"/>
        <w:spacing w:after="0" w:line="538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年部门预算表（附表）</w:t>
      </w:r>
    </w:p>
    <w:p w14:paraId="7CD92BE0">
      <w:pPr>
        <w:pStyle w:val="13"/>
        <w:numPr>
          <w:ilvl w:val="0"/>
          <w:numId w:val="4"/>
        </w:numPr>
        <w:shd w:val="clear" w:color="auto" w:fill="auto"/>
        <w:tabs>
          <w:tab w:val="left" w:pos="38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年部门财政拨款收支预算总表</w:t>
      </w:r>
    </w:p>
    <w:p w14:paraId="02964646">
      <w:pPr>
        <w:pStyle w:val="13"/>
        <w:numPr>
          <w:ilvl w:val="0"/>
          <w:numId w:val="4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年部门一般公共预算支出预算表</w:t>
      </w:r>
    </w:p>
    <w:p w14:paraId="1B2640DE">
      <w:pPr>
        <w:pStyle w:val="13"/>
        <w:numPr>
          <w:ilvl w:val="0"/>
          <w:numId w:val="4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年部门一般公共预算基本支出预算表</w:t>
      </w:r>
    </w:p>
    <w:p w14:paraId="6A4FB3B7">
      <w:pPr>
        <w:pStyle w:val="13"/>
        <w:numPr>
          <w:ilvl w:val="0"/>
          <w:numId w:val="4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年部门政府性基金预算支出预算表</w:t>
      </w:r>
    </w:p>
    <w:p w14:paraId="76266F26">
      <w:pPr>
        <w:pStyle w:val="13"/>
        <w:numPr>
          <w:ilvl w:val="0"/>
          <w:numId w:val="4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年部门收支预算总表</w:t>
      </w:r>
    </w:p>
    <w:p w14:paraId="7694A6EC">
      <w:pPr>
        <w:pStyle w:val="13"/>
        <w:numPr>
          <w:ilvl w:val="0"/>
          <w:numId w:val="4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年部门收入预算总表</w:t>
      </w:r>
    </w:p>
    <w:p w14:paraId="6F4E667F">
      <w:pPr>
        <w:pStyle w:val="13"/>
        <w:numPr>
          <w:ilvl w:val="0"/>
          <w:numId w:val="4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年部门支出预算总表</w:t>
      </w:r>
    </w:p>
    <w:p w14:paraId="1A83E370">
      <w:pPr>
        <w:pStyle w:val="13"/>
        <w:numPr>
          <w:ilvl w:val="0"/>
          <w:numId w:val="4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</w:t>
      </w:r>
      <w:r>
        <w:rPr>
          <w:rFonts w:hint="eastAsia" w:ascii="仿宋" w:hAnsi="仿宋" w:eastAsia="仿宋" w:cs="仿宋"/>
          <w:sz w:val="32"/>
          <w:szCs w:val="32"/>
        </w:rPr>
        <w:t>国有资本经营预算支出预算表</w:t>
      </w:r>
    </w:p>
    <w:p w14:paraId="67972020">
      <w:pPr>
        <w:pStyle w:val="13"/>
        <w:numPr>
          <w:ilvl w:val="0"/>
          <w:numId w:val="4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年部门政府采购预算表</w:t>
      </w:r>
    </w:p>
    <w:p w14:paraId="30FC4AD4">
      <w:pPr>
        <w:pStyle w:val="13"/>
        <w:shd w:val="clear" w:color="auto" w:fill="auto"/>
        <w:tabs>
          <w:tab w:val="left" w:pos="1280"/>
        </w:tabs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10.20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年政府购买服务预算表</w:t>
      </w:r>
    </w:p>
    <w:sectPr>
      <w:headerReference r:id="rId5" w:type="default"/>
      <w:footerReference r:id="rId6" w:type="default"/>
      <w:footerReference r:id="rId7" w:type="even"/>
      <w:pgSz w:w="11900" w:h="16840"/>
      <w:pgMar w:top="1586" w:right="1237" w:bottom="1616" w:left="1198" w:header="0" w:footer="3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E770B6">
    <w:pPr>
      <w:rPr>
        <w:sz w:val="2"/>
        <w:szCs w:val="2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3667125</wp:posOffset>
              </wp:positionH>
              <wp:positionV relativeFrom="page">
                <wp:posOffset>9913620</wp:posOffset>
              </wp:positionV>
              <wp:extent cx="94615" cy="7937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615" cy="79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8294F3">
                          <w:pPr>
                            <w:pStyle w:val="2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3"/>
                              <w:rFonts w:eastAsia="PMingLiU"/>
                            </w:rPr>
                            <w:t>7</w:t>
                          </w:r>
                          <w:r>
                            <w:rPr>
                              <w:rStyle w:val="23"/>
                              <w:rFonts w:eastAsia="PMingLiU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88.75pt;margin-top:780.6pt;height:6.25pt;width:7.4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CRsA5q2AAAAA0BAAAPAAAAAAAAAAEAIAAAACIAAABk&#10;cnMvZG93bnJldi54bWxQSwECFAAUAAAACACHTuJANdvCBM0BAACVAwAADgAAAAAAAAABACAAAAAn&#10;AQAAZHJzL2Uyb0RvYy54bWxQSwUGAAAAAAYABgBZAQAAZ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58294F3">
                    <w:pPr>
                      <w:pStyle w:val="2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23"/>
                        <w:rFonts w:eastAsia="PMingLiU"/>
                      </w:rPr>
                      <w:t>7</w:t>
                    </w:r>
                    <w:r>
                      <w:rPr>
                        <w:rStyle w:val="23"/>
                        <w:rFonts w:eastAsia="PMingLiU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7DA2A0">
    <w:pPr>
      <w:rPr>
        <w:sz w:val="2"/>
        <w:szCs w:val="2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3667125</wp:posOffset>
              </wp:positionH>
              <wp:positionV relativeFrom="page">
                <wp:posOffset>9913620</wp:posOffset>
              </wp:positionV>
              <wp:extent cx="94615" cy="7937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615" cy="79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21DF23">
                          <w:pPr>
                            <w:pStyle w:val="2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3"/>
                              <w:rFonts w:eastAsia="PMingLiU"/>
                            </w:rPr>
                            <w:t>8</w:t>
                          </w:r>
                          <w:r>
                            <w:rPr>
                              <w:rStyle w:val="23"/>
                              <w:rFonts w:eastAsia="PMingLiU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88.75pt;margin-top:780.6pt;height:6.25pt;width:7.45pt;mso-position-horizontal-relative:page;mso-position-vertical-relative:page;mso-wrap-style:none;z-index:-251656192;mso-width-relative:page;mso-height-relative:page;" filled="f" stroked="f" coordsize="21600,21600" o:gfxdata="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CRsA5q2AAAAA0BAAAPAAAAAAAAAAEAIAAAACIAAABk&#10;cnMvZG93bnJldi54bWxQSwECFAAUAAAACACHTuJAb/BnUc0BAACVAwAADgAAAAAAAAABACAAAAAn&#10;AQAAZHJzL2Uyb0RvYy54bWxQSwUGAAAAAAYABgBZAQAAZ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221DF23">
                    <w:pPr>
                      <w:pStyle w:val="2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23"/>
                        <w:rFonts w:eastAsia="PMingLiU"/>
                      </w:rPr>
                      <w:t>8</w:t>
                    </w:r>
                    <w:r>
                      <w:rPr>
                        <w:rStyle w:val="23"/>
                        <w:rFonts w:eastAsia="PMingLiU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AF224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1E84A9"/>
    <w:multiLevelType w:val="singleLevel"/>
    <w:tmpl w:val="AB1E84A9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CF092B84"/>
    <w:multiLevelType w:val="singleLevel"/>
    <w:tmpl w:val="CF092B84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2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3">
    <w:nsid w:val="32E7DDA3"/>
    <w:multiLevelType w:val="singleLevel"/>
    <w:tmpl w:val="32E7DDA3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7B"/>
    <w:rsid w:val="00265585"/>
    <w:rsid w:val="002F2597"/>
    <w:rsid w:val="0033577B"/>
    <w:rsid w:val="004F768F"/>
    <w:rsid w:val="00641A63"/>
    <w:rsid w:val="0067705F"/>
    <w:rsid w:val="006B33A9"/>
    <w:rsid w:val="00BD44D9"/>
    <w:rsid w:val="00C25BEF"/>
    <w:rsid w:val="00D6440E"/>
    <w:rsid w:val="00DA621A"/>
    <w:rsid w:val="00FB3496"/>
    <w:rsid w:val="02431E11"/>
    <w:rsid w:val="043E2F4A"/>
    <w:rsid w:val="074910A2"/>
    <w:rsid w:val="0785427E"/>
    <w:rsid w:val="07F075AF"/>
    <w:rsid w:val="0CE0059C"/>
    <w:rsid w:val="0D1A45DD"/>
    <w:rsid w:val="0D8574D2"/>
    <w:rsid w:val="10785245"/>
    <w:rsid w:val="13E32373"/>
    <w:rsid w:val="14F04E9F"/>
    <w:rsid w:val="159E5EDA"/>
    <w:rsid w:val="1A436AD6"/>
    <w:rsid w:val="1BE01145"/>
    <w:rsid w:val="1C8D24DC"/>
    <w:rsid w:val="1D1B7131"/>
    <w:rsid w:val="1D4A2712"/>
    <w:rsid w:val="1DDE2AFD"/>
    <w:rsid w:val="1E894A1F"/>
    <w:rsid w:val="1F03489B"/>
    <w:rsid w:val="1F2D795C"/>
    <w:rsid w:val="21071CD9"/>
    <w:rsid w:val="24187DF0"/>
    <w:rsid w:val="24B3653B"/>
    <w:rsid w:val="24E877DF"/>
    <w:rsid w:val="250E3D3B"/>
    <w:rsid w:val="262C6844"/>
    <w:rsid w:val="265042E5"/>
    <w:rsid w:val="276B45D1"/>
    <w:rsid w:val="28265DC8"/>
    <w:rsid w:val="283233E6"/>
    <w:rsid w:val="299D31EA"/>
    <w:rsid w:val="29AF1010"/>
    <w:rsid w:val="2C7C38A6"/>
    <w:rsid w:val="2EDA3662"/>
    <w:rsid w:val="2F142897"/>
    <w:rsid w:val="2F3D0F23"/>
    <w:rsid w:val="2FC8303B"/>
    <w:rsid w:val="332C6584"/>
    <w:rsid w:val="338B5FA7"/>
    <w:rsid w:val="36344243"/>
    <w:rsid w:val="36F23E90"/>
    <w:rsid w:val="3C597A01"/>
    <w:rsid w:val="3CE458EA"/>
    <w:rsid w:val="3D7A4687"/>
    <w:rsid w:val="3D81035B"/>
    <w:rsid w:val="3EA87366"/>
    <w:rsid w:val="405B5988"/>
    <w:rsid w:val="42CE1A36"/>
    <w:rsid w:val="430000D7"/>
    <w:rsid w:val="460354CB"/>
    <w:rsid w:val="47CF07C2"/>
    <w:rsid w:val="48105303"/>
    <w:rsid w:val="488103CB"/>
    <w:rsid w:val="48820020"/>
    <w:rsid w:val="488F66F7"/>
    <w:rsid w:val="4A972C95"/>
    <w:rsid w:val="4AA81C1E"/>
    <w:rsid w:val="4AC75B2F"/>
    <w:rsid w:val="4B894EB0"/>
    <w:rsid w:val="4B9B7CB8"/>
    <w:rsid w:val="4E24045A"/>
    <w:rsid w:val="4E935B51"/>
    <w:rsid w:val="50E907FF"/>
    <w:rsid w:val="52B95463"/>
    <w:rsid w:val="5A2F72A6"/>
    <w:rsid w:val="5AEC5011"/>
    <w:rsid w:val="5BCE528C"/>
    <w:rsid w:val="5CD72D8D"/>
    <w:rsid w:val="61F9323B"/>
    <w:rsid w:val="62A45082"/>
    <w:rsid w:val="6368771C"/>
    <w:rsid w:val="673D6FD7"/>
    <w:rsid w:val="6A6261E0"/>
    <w:rsid w:val="6C890CDF"/>
    <w:rsid w:val="6EC55030"/>
    <w:rsid w:val="6FA1255B"/>
    <w:rsid w:val="70AA00AE"/>
    <w:rsid w:val="79C53304"/>
    <w:rsid w:val="7AB86BD0"/>
    <w:rsid w:val="7D8D0811"/>
    <w:rsid w:val="7D9531F9"/>
    <w:rsid w:val="7E294CF4"/>
    <w:rsid w:val="7EA1365A"/>
    <w:rsid w:val="7F58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zh-CN" w:eastAsia="zh-CN" w:bidi="zh-CN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Body text|3_"/>
    <w:basedOn w:val="3"/>
    <w:link w:val="5"/>
    <w:qFormat/>
    <w:uiPriority w:val="0"/>
    <w:rPr>
      <w:rFonts w:ascii="PMingLiU" w:hAnsi="PMingLiU" w:eastAsia="PMingLiU" w:cs="PMingLiU"/>
      <w:sz w:val="52"/>
      <w:szCs w:val="52"/>
      <w:u w:val="none"/>
    </w:rPr>
  </w:style>
  <w:style w:type="paragraph" w:customStyle="1" w:styleId="5">
    <w:name w:val="Body text|3"/>
    <w:basedOn w:val="1"/>
    <w:link w:val="4"/>
    <w:qFormat/>
    <w:uiPriority w:val="0"/>
    <w:pPr>
      <w:shd w:val="clear" w:color="auto" w:fill="FFFFFF"/>
      <w:spacing w:after="5400" w:line="1133" w:lineRule="exact"/>
      <w:jc w:val="center"/>
    </w:pPr>
    <w:rPr>
      <w:rFonts w:ascii="PMingLiU" w:hAnsi="PMingLiU" w:eastAsia="PMingLiU" w:cs="PMingLiU"/>
      <w:sz w:val="52"/>
      <w:szCs w:val="52"/>
    </w:rPr>
  </w:style>
  <w:style w:type="character" w:customStyle="1" w:styleId="6">
    <w:name w:val="Body text|3 + Times New Roman"/>
    <w:basedOn w:val="4"/>
    <w:semiHidden/>
    <w:unhideWhenUsed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 w:bidi="zh-CN"/>
    </w:rPr>
  </w:style>
  <w:style w:type="character" w:customStyle="1" w:styleId="7">
    <w:name w:val="Body text|4_"/>
    <w:basedOn w:val="3"/>
    <w:link w:val="8"/>
    <w:qFormat/>
    <w:uiPriority w:val="0"/>
    <w:rPr>
      <w:rFonts w:ascii="PMingLiU" w:hAnsi="PMingLiU" w:eastAsia="PMingLiU" w:cs="PMingLiU"/>
      <w:sz w:val="36"/>
      <w:szCs w:val="36"/>
      <w:u w:val="none"/>
    </w:rPr>
  </w:style>
  <w:style w:type="paragraph" w:customStyle="1" w:styleId="8">
    <w:name w:val="Body text|4"/>
    <w:basedOn w:val="1"/>
    <w:link w:val="7"/>
    <w:qFormat/>
    <w:uiPriority w:val="0"/>
    <w:pPr>
      <w:shd w:val="clear" w:color="auto" w:fill="FFFFFF"/>
      <w:spacing w:before="5400" w:line="360" w:lineRule="exact"/>
    </w:pPr>
    <w:rPr>
      <w:rFonts w:ascii="PMingLiU" w:hAnsi="PMingLiU" w:eastAsia="PMingLiU" w:cs="PMingLiU"/>
      <w:sz w:val="36"/>
      <w:szCs w:val="36"/>
    </w:rPr>
  </w:style>
  <w:style w:type="character" w:customStyle="1" w:styleId="9">
    <w:name w:val="Body text|4 + Spacing 4 pt"/>
    <w:basedOn w:val="7"/>
    <w:semiHidden/>
    <w:unhideWhenUsed/>
    <w:qFormat/>
    <w:uiPriority w:val="0"/>
    <w:rPr>
      <w:rFonts w:ascii="PMingLiU" w:hAnsi="PMingLiU" w:eastAsia="PMingLiU" w:cs="PMingLiU"/>
      <w:color w:val="000000"/>
      <w:spacing w:val="80"/>
      <w:w w:val="100"/>
      <w:position w:val="0"/>
      <w:sz w:val="36"/>
      <w:szCs w:val="36"/>
      <w:u w:val="none"/>
      <w:lang w:val="zh-CN" w:eastAsia="zh-CN" w:bidi="zh-CN"/>
    </w:rPr>
  </w:style>
  <w:style w:type="character" w:customStyle="1" w:styleId="10">
    <w:name w:val="Body text|5_"/>
    <w:basedOn w:val="3"/>
    <w:link w:val="11"/>
    <w:qFormat/>
    <w:uiPriority w:val="0"/>
    <w:rPr>
      <w:rFonts w:ascii="PMingLiU" w:hAnsi="PMingLiU" w:eastAsia="PMingLiU" w:cs="PMingLiU"/>
      <w:b/>
      <w:bCs/>
      <w:spacing w:val="30"/>
      <w:sz w:val="30"/>
      <w:szCs w:val="30"/>
      <w:u w:val="none"/>
    </w:rPr>
  </w:style>
  <w:style w:type="paragraph" w:customStyle="1" w:styleId="11">
    <w:name w:val="Body text|5"/>
    <w:basedOn w:val="1"/>
    <w:link w:val="10"/>
    <w:qFormat/>
    <w:uiPriority w:val="0"/>
    <w:pPr>
      <w:shd w:val="clear" w:color="auto" w:fill="FFFFFF"/>
      <w:spacing w:after="220" w:line="300" w:lineRule="exact"/>
    </w:pPr>
    <w:rPr>
      <w:rFonts w:ascii="PMingLiU" w:hAnsi="PMingLiU" w:eastAsia="PMingLiU" w:cs="PMingLiU"/>
      <w:b/>
      <w:bCs/>
      <w:spacing w:val="30"/>
      <w:sz w:val="30"/>
      <w:szCs w:val="30"/>
    </w:rPr>
  </w:style>
  <w:style w:type="character" w:customStyle="1" w:styleId="12">
    <w:name w:val="Body text|2_"/>
    <w:basedOn w:val="3"/>
    <w:link w:val="13"/>
    <w:qFormat/>
    <w:uiPriority w:val="0"/>
    <w:rPr>
      <w:rFonts w:ascii="PMingLiU" w:hAnsi="PMingLiU" w:eastAsia="PMingLiU" w:cs="PMingLiU"/>
      <w:spacing w:val="30"/>
      <w:sz w:val="30"/>
      <w:szCs w:val="30"/>
      <w:u w:val="none"/>
    </w:rPr>
  </w:style>
  <w:style w:type="paragraph" w:customStyle="1" w:styleId="13">
    <w:name w:val="Body text|2"/>
    <w:basedOn w:val="1"/>
    <w:link w:val="12"/>
    <w:qFormat/>
    <w:uiPriority w:val="0"/>
    <w:pPr>
      <w:shd w:val="clear" w:color="auto" w:fill="FFFFFF"/>
      <w:spacing w:before="220" w:after="220" w:line="300" w:lineRule="exact"/>
    </w:pPr>
    <w:rPr>
      <w:rFonts w:ascii="PMingLiU" w:hAnsi="PMingLiU" w:eastAsia="PMingLiU" w:cs="PMingLiU"/>
      <w:spacing w:val="30"/>
      <w:sz w:val="30"/>
      <w:szCs w:val="30"/>
    </w:rPr>
  </w:style>
  <w:style w:type="character" w:customStyle="1" w:styleId="14">
    <w:name w:val="Body text|2 + Times New Roman"/>
    <w:basedOn w:val="12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15">
    <w:name w:val="Body text|2 + Bold"/>
    <w:basedOn w:val="12"/>
    <w:semiHidden/>
    <w:unhideWhenUsed/>
    <w:qFormat/>
    <w:uiPriority w:val="0"/>
    <w:rPr>
      <w:rFonts w:ascii="PMingLiU" w:hAnsi="PMingLiU" w:eastAsia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16">
    <w:name w:val="Body text|6_"/>
    <w:basedOn w:val="3"/>
    <w:link w:val="17"/>
    <w:qFormat/>
    <w:uiPriority w:val="0"/>
    <w:rPr>
      <w:rFonts w:ascii="PMingLiU" w:hAnsi="PMingLiU" w:eastAsia="PMingLiU" w:cs="PMingLiU"/>
      <w:spacing w:val="30"/>
      <w:sz w:val="32"/>
      <w:szCs w:val="32"/>
      <w:u w:val="none"/>
    </w:rPr>
  </w:style>
  <w:style w:type="paragraph" w:customStyle="1" w:styleId="17">
    <w:name w:val="Body text|6"/>
    <w:basedOn w:val="1"/>
    <w:link w:val="16"/>
    <w:qFormat/>
    <w:uiPriority w:val="0"/>
    <w:pPr>
      <w:shd w:val="clear" w:color="auto" w:fill="FFFFFF"/>
      <w:spacing w:after="320" w:line="320" w:lineRule="exact"/>
      <w:jc w:val="center"/>
    </w:pPr>
    <w:rPr>
      <w:rFonts w:ascii="PMingLiU" w:hAnsi="PMingLiU" w:eastAsia="PMingLiU" w:cs="PMingLiU"/>
      <w:spacing w:val="30"/>
      <w:sz w:val="32"/>
      <w:szCs w:val="32"/>
    </w:rPr>
  </w:style>
  <w:style w:type="character" w:customStyle="1" w:styleId="18">
    <w:name w:val="Body text|2 + 12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  <w:style w:type="character" w:customStyle="1" w:styleId="19">
    <w:name w:val="Body text|6 + Times New Roman"/>
    <w:basedOn w:val="16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34"/>
      <w:szCs w:val="34"/>
      <w:u w:val="none"/>
      <w:lang w:val="zh-CN" w:eastAsia="zh-CN" w:bidi="zh-CN"/>
    </w:rPr>
  </w:style>
  <w:style w:type="character" w:customStyle="1" w:styleId="20">
    <w:name w:val="Header or footer|1_"/>
    <w:basedOn w:val="3"/>
    <w:link w:val="21"/>
    <w:qFormat/>
    <w:uiPriority w:val="0"/>
    <w:rPr>
      <w:rFonts w:ascii="PMingLiU" w:hAnsi="PMingLiU" w:eastAsia="PMingLiU" w:cs="PMingLiU"/>
      <w:spacing w:val="20"/>
      <w:sz w:val="19"/>
      <w:szCs w:val="19"/>
      <w:u w:val="none"/>
    </w:rPr>
  </w:style>
  <w:style w:type="paragraph" w:customStyle="1" w:styleId="21">
    <w:name w:val="Header or footer|11"/>
    <w:basedOn w:val="1"/>
    <w:link w:val="20"/>
    <w:qFormat/>
    <w:uiPriority w:val="0"/>
    <w:pPr>
      <w:shd w:val="clear" w:color="auto" w:fill="FFFFFF"/>
      <w:spacing w:line="190" w:lineRule="exact"/>
    </w:pPr>
    <w:rPr>
      <w:rFonts w:ascii="PMingLiU" w:hAnsi="PMingLiU" w:eastAsia="PMingLiU" w:cs="PMingLiU"/>
      <w:spacing w:val="20"/>
      <w:sz w:val="19"/>
      <w:szCs w:val="19"/>
    </w:rPr>
  </w:style>
  <w:style w:type="character" w:customStyle="1" w:styleId="22">
    <w:name w:val="Header or footer|1"/>
    <w:basedOn w:val="20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19"/>
      <w:szCs w:val="19"/>
      <w:u w:val="none"/>
      <w:lang w:val="zh-CN" w:eastAsia="zh-CN" w:bidi="zh-CN"/>
    </w:rPr>
  </w:style>
  <w:style w:type="character" w:customStyle="1" w:styleId="23">
    <w:name w:val="Header or footer|1 + Times New Roman"/>
    <w:basedOn w:val="20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u w:val="none"/>
      <w:lang w:val="zh-CN" w:eastAsia="zh-CN" w:bidi="zh-CN"/>
    </w:rPr>
  </w:style>
  <w:style w:type="character" w:customStyle="1" w:styleId="24">
    <w:name w:val="Heading #1|1_"/>
    <w:basedOn w:val="3"/>
    <w:link w:val="25"/>
    <w:qFormat/>
    <w:uiPriority w:val="0"/>
    <w:rPr>
      <w:rFonts w:ascii="PMingLiU" w:hAnsi="PMingLiU" w:eastAsia="PMingLiU" w:cs="PMingLiU"/>
      <w:sz w:val="36"/>
      <w:szCs w:val="36"/>
      <w:u w:val="none"/>
    </w:rPr>
  </w:style>
  <w:style w:type="paragraph" w:customStyle="1" w:styleId="25">
    <w:name w:val="Heading #1|1"/>
    <w:basedOn w:val="1"/>
    <w:link w:val="24"/>
    <w:qFormat/>
    <w:uiPriority w:val="0"/>
    <w:pPr>
      <w:shd w:val="clear" w:color="auto" w:fill="FFFFFF"/>
      <w:spacing w:before="780" w:line="360" w:lineRule="exact"/>
      <w:outlineLvl w:val="0"/>
    </w:pPr>
    <w:rPr>
      <w:rFonts w:ascii="PMingLiU" w:hAnsi="PMingLiU" w:eastAsia="PMingLiU" w:cs="PMingLiU"/>
      <w:sz w:val="36"/>
      <w:szCs w:val="36"/>
    </w:rPr>
  </w:style>
  <w:style w:type="character" w:customStyle="1" w:styleId="26">
    <w:name w:val="Table caption|1_"/>
    <w:basedOn w:val="3"/>
    <w:link w:val="27"/>
    <w:qFormat/>
    <w:uiPriority w:val="0"/>
    <w:rPr>
      <w:rFonts w:ascii="PMingLiU" w:hAnsi="PMingLiU" w:eastAsia="PMingLiU" w:cs="PMingLiU"/>
      <w:sz w:val="20"/>
      <w:szCs w:val="20"/>
      <w:u w:val="none"/>
    </w:rPr>
  </w:style>
  <w:style w:type="paragraph" w:customStyle="1" w:styleId="27">
    <w:name w:val="Table caption|1"/>
    <w:basedOn w:val="1"/>
    <w:link w:val="26"/>
    <w:qFormat/>
    <w:uiPriority w:val="0"/>
    <w:pPr>
      <w:shd w:val="clear" w:color="auto" w:fill="FFFFFF"/>
      <w:spacing w:line="200" w:lineRule="exact"/>
    </w:pPr>
    <w:rPr>
      <w:rFonts w:ascii="PMingLiU" w:hAnsi="PMingLiU" w:eastAsia="PMingLiU" w:cs="PMingLiU"/>
      <w:sz w:val="20"/>
      <w:szCs w:val="20"/>
    </w:rPr>
  </w:style>
  <w:style w:type="character" w:customStyle="1" w:styleId="28">
    <w:name w:val="Table caption|1 + Spacing 2 pt"/>
    <w:basedOn w:val="26"/>
    <w:semiHidden/>
    <w:unhideWhenUsed/>
    <w:qFormat/>
    <w:uiPriority w:val="0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29">
    <w:name w:val="Body text|2 + 10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30">
    <w:name w:val="Body text|2 + 10 pt1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31">
    <w:name w:val="Body text|2 + 18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90"/>
      <w:w w:val="60"/>
      <w:position w:val="0"/>
      <w:sz w:val="36"/>
      <w:szCs w:val="36"/>
      <w:u w:val="none"/>
      <w:lang w:val="zh-CN" w:eastAsia="zh-CN" w:bidi="zh-CN"/>
    </w:rPr>
  </w:style>
  <w:style w:type="character" w:customStyle="1" w:styleId="32">
    <w:name w:val="Body text|2 + 21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70"/>
      <w:w w:val="90"/>
      <w:position w:val="0"/>
      <w:sz w:val="42"/>
      <w:szCs w:val="42"/>
      <w:u w:val="none"/>
      <w:lang w:val="zh-CN" w:eastAsia="zh-CN" w:bidi="zh-CN"/>
    </w:rPr>
  </w:style>
  <w:style w:type="character" w:customStyle="1" w:styleId="33">
    <w:name w:val="Body text|2 + Times New Roman1"/>
    <w:basedOn w:val="12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4">
    <w:name w:val="Table caption|1 Exact"/>
    <w:basedOn w:val="3"/>
    <w:semiHidden/>
    <w:unhideWhenUsed/>
    <w:qFormat/>
    <w:uiPriority w:val="0"/>
    <w:rPr>
      <w:rFonts w:ascii="PMingLiU" w:hAnsi="PMingLiU" w:eastAsia="PMingLiU" w:cs="PMingLiU"/>
      <w:sz w:val="20"/>
      <w:szCs w:val="20"/>
      <w:u w:val="none"/>
    </w:rPr>
  </w:style>
  <w:style w:type="character" w:customStyle="1" w:styleId="35">
    <w:name w:val="Body text|7_"/>
    <w:basedOn w:val="3"/>
    <w:link w:val="36"/>
    <w:qFormat/>
    <w:uiPriority w:val="0"/>
    <w:rPr>
      <w:rFonts w:ascii="PMingLiU" w:hAnsi="PMingLiU" w:eastAsia="PMingLiU" w:cs="PMingLiU"/>
      <w:sz w:val="20"/>
      <w:szCs w:val="20"/>
      <w:u w:val="none"/>
    </w:rPr>
  </w:style>
  <w:style w:type="paragraph" w:customStyle="1" w:styleId="36">
    <w:name w:val="Body text|7"/>
    <w:basedOn w:val="1"/>
    <w:link w:val="35"/>
    <w:qFormat/>
    <w:uiPriority w:val="0"/>
    <w:pPr>
      <w:shd w:val="clear" w:color="auto" w:fill="FFFFFF"/>
      <w:spacing w:after="320" w:line="200" w:lineRule="exact"/>
      <w:jc w:val="right"/>
    </w:pPr>
    <w:rPr>
      <w:rFonts w:ascii="PMingLiU" w:hAnsi="PMingLiU" w:eastAsia="PMingLiU" w:cs="PMingLiU"/>
      <w:sz w:val="20"/>
      <w:szCs w:val="20"/>
    </w:rPr>
  </w:style>
  <w:style w:type="character" w:customStyle="1" w:styleId="37">
    <w:name w:val="Header or footer|1 + Times New Roman1"/>
    <w:basedOn w:val="20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38">
    <w:name w:val="Header or footer|1 + 10 pt"/>
    <w:basedOn w:val="20"/>
    <w:semiHidden/>
    <w:unhideWhenUsed/>
    <w:qFormat/>
    <w:uiPriority w:val="0"/>
    <w:rPr>
      <w:rFonts w:ascii="PMingLiU" w:hAnsi="PMingLiU" w:eastAsia="PMingLiU" w:cs="PMingLiU"/>
      <w:color w:val="000000"/>
      <w:spacing w:val="30"/>
      <w:w w:val="80"/>
      <w:position w:val="0"/>
      <w:sz w:val="20"/>
      <w:szCs w:val="20"/>
      <w:u w:val="none"/>
      <w:lang w:val="zh-CN" w:eastAsia="zh-CN" w:bidi="zh-CN"/>
    </w:rPr>
  </w:style>
  <w:style w:type="character" w:customStyle="1" w:styleId="39">
    <w:name w:val="Header or footer|1 + Times New Roman2"/>
    <w:basedOn w:val="20"/>
    <w:semiHidden/>
    <w:unhideWhenUsed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0">
    <w:name w:val="Body text|2 + 10.5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60"/>
      <w:w w:val="100"/>
      <w:position w:val="0"/>
      <w:sz w:val="21"/>
      <w:szCs w:val="21"/>
      <w:u w:val="none"/>
      <w:lang w:val="zh-CN" w:eastAsia="zh-CN" w:bidi="zh-CN"/>
    </w:rPr>
  </w:style>
  <w:style w:type="character" w:customStyle="1" w:styleId="41">
    <w:name w:val="Body text|5 + 5 pt"/>
    <w:basedOn w:val="10"/>
    <w:semiHidden/>
    <w:unhideWhenUsed/>
    <w:qFormat/>
    <w:uiPriority w:val="0"/>
    <w:rPr>
      <w:rFonts w:ascii="PMingLiU" w:hAnsi="PMingLiU" w:eastAsia="PMingLiU" w:cs="PMingLiU"/>
      <w:color w:val="000000"/>
      <w:spacing w:val="30"/>
      <w:w w:val="100"/>
      <w:position w:val="0"/>
      <w:sz w:val="10"/>
      <w:szCs w:val="10"/>
      <w:u w:val="none"/>
      <w:lang w:val="zh-CN" w:eastAsia="zh-CN" w:bidi="zh-CN"/>
    </w:rPr>
  </w:style>
  <w:style w:type="character" w:customStyle="1" w:styleId="42">
    <w:name w:val="Body text|5 + Not Bold"/>
    <w:basedOn w:val="10"/>
    <w:semiHidden/>
    <w:unhideWhenUsed/>
    <w:qFormat/>
    <w:uiPriority w:val="0"/>
    <w:rPr>
      <w:rFonts w:ascii="PMingLiU" w:hAnsi="PMingLiU" w:eastAsia="PMingLiU" w:cs="PMingLiU"/>
      <w:color w:val="000000"/>
      <w:spacing w:val="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43">
    <w:name w:val="Body text|8_"/>
    <w:basedOn w:val="3"/>
    <w:link w:val="44"/>
    <w:qFormat/>
    <w:uiPriority w:val="0"/>
    <w:rPr>
      <w:rFonts w:ascii="PMingLiU" w:hAnsi="PMingLiU" w:eastAsia="PMingLiU" w:cs="PMingLiU"/>
      <w:sz w:val="30"/>
      <w:szCs w:val="30"/>
      <w:u w:val="none"/>
    </w:rPr>
  </w:style>
  <w:style w:type="paragraph" w:customStyle="1" w:styleId="44">
    <w:name w:val="Body text|8"/>
    <w:basedOn w:val="1"/>
    <w:link w:val="43"/>
    <w:qFormat/>
    <w:uiPriority w:val="0"/>
    <w:pPr>
      <w:shd w:val="clear" w:color="auto" w:fill="FFFFFF"/>
      <w:spacing w:line="600" w:lineRule="exact"/>
      <w:ind w:firstLine="720"/>
      <w:jc w:val="distribute"/>
    </w:pPr>
    <w:rPr>
      <w:rFonts w:ascii="PMingLiU" w:hAnsi="PMingLiU" w:eastAsia="PMingLiU" w:cs="PMingLiU"/>
      <w:sz w:val="30"/>
      <w:szCs w:val="30"/>
    </w:rPr>
  </w:style>
  <w:style w:type="character" w:customStyle="1" w:styleId="45">
    <w:name w:val="Body text|2 + 12 pt1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37</Words>
  <Characters>44</Characters>
  <Lines>19</Lines>
  <Paragraphs>5</Paragraphs>
  <TotalTime>10</TotalTime>
  <ScaleCrop>false</ScaleCrop>
  <LinksUpToDate>false</LinksUpToDate>
  <CharactersWithSpaces>45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2019-01-17T03:01:00Z</dcterms:created>
  <dc:creator>Administrator</dc:creator>
  <cp:lastModifiedBy>别笑了</cp:lastModifiedBy>
  <cp:lastPrinted>2019-02-18T00:59:00Z</cp:lastPrinted>
  <dcterms:modified xsi:type="dcterms:W3CDTF">2025-07-16T01:03:09Z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eyJoZGlkIjoiZjhiYjZiNzcyMDkzMDA2YTcyNGU0ZDVkZjY4YzQ2OWIiLCJ1c2VySWQiOiI1NTI0OTE1MzkifQ==</vt:lpwstr>
  </property>
  <property fmtid="{D5CDD505-2E9C-101B-9397-08002B2CF9AE}" pid="4" name="ICV">
    <vt:lpwstr>33F2ACE3245D43BB8EF62D66DE545C68_13</vt:lpwstr>
  </property>
</Properties>
</file>