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87FCBF">
      <w:pPr>
        <w:spacing w:before="135" w:line="225" w:lineRule="auto"/>
        <w:ind w:left="162"/>
        <w:rPr>
          <w:rFonts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b/>
          <w:bCs/>
          <w:spacing w:val="-3"/>
          <w:sz w:val="35"/>
          <w:szCs w:val="35"/>
        </w:rPr>
        <w:t>石台县仙寓山景区管理中心</w:t>
      </w:r>
      <w:r>
        <w:rPr>
          <w:rFonts w:ascii="宋体" w:hAnsi="宋体" w:eastAsia="宋体" w:cs="宋体"/>
          <w:spacing w:val="-59"/>
          <w:sz w:val="35"/>
          <w:szCs w:val="35"/>
        </w:rPr>
        <w:t xml:space="preserve"> </w:t>
      </w:r>
      <w:r>
        <w:rPr>
          <w:rFonts w:ascii="宋体" w:hAnsi="宋体" w:eastAsia="宋体" w:cs="宋体"/>
          <w:b/>
          <w:bCs/>
          <w:spacing w:val="-3"/>
          <w:sz w:val="35"/>
          <w:szCs w:val="35"/>
        </w:rPr>
        <w:t>2023</w:t>
      </w:r>
      <w:r>
        <w:rPr>
          <w:rFonts w:ascii="宋体" w:hAnsi="宋体" w:eastAsia="宋体" w:cs="宋体"/>
          <w:spacing w:val="-71"/>
          <w:sz w:val="35"/>
          <w:szCs w:val="35"/>
        </w:rPr>
        <w:t xml:space="preserve"> </w:t>
      </w:r>
      <w:r>
        <w:rPr>
          <w:rFonts w:ascii="宋体" w:hAnsi="宋体" w:eastAsia="宋体" w:cs="宋体"/>
          <w:b/>
          <w:bCs/>
          <w:spacing w:val="-3"/>
          <w:sz w:val="35"/>
          <w:szCs w:val="35"/>
        </w:rPr>
        <w:t>年一般公共预算“三</w:t>
      </w:r>
    </w:p>
    <w:p w14:paraId="4AA3B607">
      <w:pPr>
        <w:spacing w:before="197" w:line="225" w:lineRule="auto"/>
        <w:ind w:left="3241"/>
        <w:rPr>
          <w:rFonts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b/>
          <w:bCs/>
          <w:spacing w:val="-5"/>
          <w:sz w:val="35"/>
          <w:szCs w:val="35"/>
        </w:rPr>
        <w:t>公</w:t>
      </w:r>
      <w:r>
        <w:rPr>
          <w:rFonts w:ascii="宋体" w:hAnsi="宋体" w:eastAsia="宋体" w:cs="宋体"/>
          <w:spacing w:val="-127"/>
          <w:sz w:val="35"/>
          <w:szCs w:val="35"/>
        </w:rPr>
        <w:t xml:space="preserve"> </w:t>
      </w:r>
      <w:r>
        <w:rPr>
          <w:rFonts w:ascii="宋体" w:hAnsi="宋体" w:eastAsia="宋体" w:cs="宋体"/>
          <w:b/>
          <w:bCs/>
          <w:spacing w:val="-5"/>
          <w:sz w:val="35"/>
          <w:szCs w:val="35"/>
        </w:rPr>
        <w:t>”经费预算</w:t>
      </w:r>
    </w:p>
    <w:p w14:paraId="2F4F53DA">
      <w:pPr>
        <w:spacing w:line="433" w:lineRule="auto"/>
        <w:rPr>
          <w:rFonts w:ascii="Arial"/>
          <w:sz w:val="21"/>
        </w:rPr>
      </w:pPr>
    </w:p>
    <w:p w14:paraId="354CFF64">
      <w:pPr>
        <w:spacing w:before="101" w:line="226" w:lineRule="auto"/>
        <w:ind w:left="805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</w:rPr>
        <w:t>一、2023</w:t>
      </w:r>
      <w:r>
        <w:rPr>
          <w:rFonts w:ascii="黑体" w:hAnsi="黑体" w:eastAsia="黑体" w:cs="黑体"/>
          <w:spacing w:val="-44"/>
          <w:sz w:val="31"/>
          <w:szCs w:val="31"/>
        </w:rPr>
        <w:t xml:space="preserve"> </w:t>
      </w:r>
      <w:r>
        <w:rPr>
          <w:rFonts w:ascii="黑体" w:hAnsi="黑体" w:eastAsia="黑体" w:cs="黑体"/>
          <w:spacing w:val="7"/>
          <w:sz w:val="31"/>
          <w:szCs w:val="31"/>
        </w:rPr>
        <w:t>年一般公共预算“三公”经费支出预算表</w:t>
      </w:r>
    </w:p>
    <w:p w14:paraId="5D33E9E0">
      <w:pPr>
        <w:spacing w:before="120" w:line="229" w:lineRule="auto"/>
        <w:ind w:left="7411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7"/>
          <w:sz w:val="20"/>
          <w:szCs w:val="20"/>
        </w:rPr>
        <w:t>单位：万元</w:t>
      </w:r>
    </w:p>
    <w:p w14:paraId="16DBD877">
      <w:pPr>
        <w:spacing w:line="130" w:lineRule="exact"/>
      </w:pPr>
    </w:p>
    <w:tbl>
      <w:tblPr>
        <w:tblStyle w:val="5"/>
        <w:tblW w:w="9077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47"/>
        <w:gridCol w:w="1842"/>
        <w:gridCol w:w="850"/>
        <w:gridCol w:w="1717"/>
        <w:gridCol w:w="1824"/>
        <w:gridCol w:w="997"/>
      </w:tblGrid>
      <w:tr w14:paraId="4EEA9D4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1847" w:type="dxa"/>
            <w:vMerge w:val="restart"/>
            <w:tcBorders>
              <w:bottom w:val="nil"/>
            </w:tcBorders>
            <w:vAlign w:val="top"/>
          </w:tcPr>
          <w:p w14:paraId="55822A11">
            <w:pPr>
              <w:spacing w:line="407" w:lineRule="auto"/>
              <w:rPr>
                <w:rFonts w:ascii="Arial"/>
                <w:sz w:val="21"/>
              </w:rPr>
            </w:pPr>
          </w:p>
          <w:p w14:paraId="172B4701">
            <w:pPr>
              <w:pStyle w:val="6"/>
              <w:spacing w:before="62" w:line="230" w:lineRule="auto"/>
              <w:ind w:left="199"/>
            </w:pPr>
            <w:r>
              <w:rPr>
                <w:rFonts w:ascii="Calibri" w:hAnsi="Calibri" w:eastAsia="Calibri" w:cs="Calibri"/>
                <w:b/>
                <w:bCs/>
                <w:spacing w:val="11"/>
              </w:rPr>
              <w:t>“</w:t>
            </w:r>
            <w:r>
              <w:rPr>
                <w:b/>
                <w:bCs/>
                <w:spacing w:val="11"/>
              </w:rPr>
              <w:t>三公</w:t>
            </w:r>
            <w:r>
              <w:rPr>
                <w:rFonts w:ascii="Calibri" w:hAnsi="Calibri" w:eastAsia="Calibri" w:cs="Calibri"/>
                <w:b/>
                <w:bCs/>
                <w:spacing w:val="11"/>
              </w:rPr>
              <w:t>”</w:t>
            </w:r>
            <w:r>
              <w:rPr>
                <w:b/>
                <w:bCs/>
                <w:spacing w:val="11"/>
              </w:rPr>
              <w:t>经费合计</w:t>
            </w:r>
          </w:p>
        </w:tc>
        <w:tc>
          <w:tcPr>
            <w:tcW w:w="1842" w:type="dxa"/>
            <w:vMerge w:val="restart"/>
            <w:tcBorders>
              <w:bottom w:val="nil"/>
            </w:tcBorders>
            <w:vAlign w:val="top"/>
          </w:tcPr>
          <w:p w14:paraId="3835EDE6">
            <w:pPr>
              <w:spacing w:line="407" w:lineRule="auto"/>
              <w:rPr>
                <w:rFonts w:ascii="Arial"/>
                <w:sz w:val="21"/>
              </w:rPr>
            </w:pPr>
          </w:p>
          <w:p w14:paraId="46F0F0ED">
            <w:pPr>
              <w:pStyle w:val="6"/>
              <w:spacing w:before="62" w:line="230" w:lineRule="auto"/>
              <w:ind w:left="137"/>
            </w:pPr>
            <w:r>
              <w:rPr>
                <w:b/>
                <w:bCs/>
                <w:spacing w:val="6"/>
              </w:rPr>
              <w:t>因公出国（境）费</w:t>
            </w:r>
          </w:p>
        </w:tc>
        <w:tc>
          <w:tcPr>
            <w:tcW w:w="4391" w:type="dxa"/>
            <w:gridSpan w:val="3"/>
            <w:vAlign w:val="top"/>
          </w:tcPr>
          <w:p w14:paraId="23EE21FB">
            <w:pPr>
              <w:pStyle w:val="6"/>
              <w:spacing w:before="188" w:line="229" w:lineRule="auto"/>
              <w:ind w:left="1204"/>
            </w:pPr>
            <w:r>
              <w:rPr>
                <w:b/>
                <w:bCs/>
                <w:spacing w:val="7"/>
              </w:rPr>
              <w:t>公务用车购置及运行费</w:t>
            </w:r>
          </w:p>
        </w:tc>
        <w:tc>
          <w:tcPr>
            <w:tcW w:w="997" w:type="dxa"/>
            <w:vMerge w:val="restart"/>
            <w:tcBorders>
              <w:bottom w:val="nil"/>
            </w:tcBorders>
            <w:vAlign w:val="top"/>
          </w:tcPr>
          <w:p w14:paraId="1A63991F">
            <w:pPr>
              <w:spacing w:line="252" w:lineRule="auto"/>
              <w:rPr>
                <w:rFonts w:ascii="Arial"/>
                <w:sz w:val="21"/>
              </w:rPr>
            </w:pPr>
          </w:p>
          <w:p w14:paraId="3A878768">
            <w:pPr>
              <w:pStyle w:val="6"/>
              <w:spacing w:before="62" w:line="229" w:lineRule="auto"/>
              <w:ind w:left="307"/>
            </w:pPr>
            <w:r>
              <w:rPr>
                <w:b/>
                <w:bCs/>
                <w:spacing w:val="1"/>
              </w:rPr>
              <w:t>公务</w:t>
            </w:r>
          </w:p>
          <w:p w14:paraId="155134C8">
            <w:pPr>
              <w:pStyle w:val="6"/>
              <w:spacing w:before="76" w:line="229" w:lineRule="auto"/>
              <w:ind w:left="202"/>
            </w:pPr>
            <w:r>
              <w:rPr>
                <w:b/>
                <w:bCs/>
                <w:spacing w:val="5"/>
              </w:rPr>
              <w:t>接待费</w:t>
            </w:r>
          </w:p>
        </w:tc>
      </w:tr>
      <w:tr w14:paraId="6A86B8B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1847" w:type="dxa"/>
            <w:vMerge w:val="continue"/>
            <w:tcBorders>
              <w:top w:val="nil"/>
            </w:tcBorders>
            <w:vAlign w:val="top"/>
          </w:tcPr>
          <w:p w14:paraId="0A3519E2">
            <w:pPr>
              <w:rPr>
                <w:rFonts w:ascii="Arial"/>
                <w:sz w:val="21"/>
              </w:rPr>
            </w:pPr>
          </w:p>
        </w:tc>
        <w:tc>
          <w:tcPr>
            <w:tcW w:w="1842" w:type="dxa"/>
            <w:vMerge w:val="continue"/>
            <w:tcBorders>
              <w:top w:val="nil"/>
            </w:tcBorders>
            <w:vAlign w:val="top"/>
          </w:tcPr>
          <w:p w14:paraId="751BD878">
            <w:pPr>
              <w:rPr>
                <w:rFonts w:ascii="Arial"/>
                <w:sz w:val="21"/>
              </w:rPr>
            </w:pPr>
          </w:p>
        </w:tc>
        <w:tc>
          <w:tcPr>
            <w:tcW w:w="850" w:type="dxa"/>
            <w:vAlign w:val="top"/>
          </w:tcPr>
          <w:p w14:paraId="545C0E94">
            <w:pPr>
              <w:pStyle w:val="6"/>
              <w:spacing w:before="179" w:line="230" w:lineRule="auto"/>
              <w:ind w:left="233"/>
            </w:pPr>
            <w:r>
              <w:rPr>
                <w:b/>
                <w:bCs/>
                <w:spacing w:val="1"/>
              </w:rPr>
              <w:t>小计</w:t>
            </w:r>
          </w:p>
        </w:tc>
        <w:tc>
          <w:tcPr>
            <w:tcW w:w="1717" w:type="dxa"/>
            <w:vAlign w:val="top"/>
          </w:tcPr>
          <w:p w14:paraId="03917FD7">
            <w:pPr>
              <w:pStyle w:val="6"/>
              <w:spacing w:before="179" w:line="229" w:lineRule="auto"/>
              <w:ind w:left="167"/>
            </w:pPr>
            <w:r>
              <w:rPr>
                <w:b/>
                <w:bCs/>
                <w:spacing w:val="6"/>
              </w:rPr>
              <w:t>公务用车购置费</w:t>
            </w:r>
          </w:p>
        </w:tc>
        <w:tc>
          <w:tcPr>
            <w:tcW w:w="1824" w:type="dxa"/>
            <w:vAlign w:val="top"/>
          </w:tcPr>
          <w:p w14:paraId="74B9C26D">
            <w:pPr>
              <w:pStyle w:val="6"/>
              <w:spacing w:before="179" w:line="229" w:lineRule="auto"/>
              <w:ind w:left="223"/>
            </w:pPr>
            <w:r>
              <w:rPr>
                <w:b/>
                <w:bCs/>
                <w:spacing w:val="6"/>
              </w:rPr>
              <w:t>公务用车运行费</w:t>
            </w:r>
          </w:p>
        </w:tc>
        <w:tc>
          <w:tcPr>
            <w:tcW w:w="997" w:type="dxa"/>
            <w:vMerge w:val="continue"/>
            <w:tcBorders>
              <w:top w:val="nil"/>
            </w:tcBorders>
            <w:vAlign w:val="top"/>
          </w:tcPr>
          <w:p w14:paraId="54C3DC54">
            <w:pPr>
              <w:rPr>
                <w:rFonts w:ascii="Arial"/>
                <w:sz w:val="21"/>
              </w:rPr>
            </w:pPr>
          </w:p>
        </w:tc>
      </w:tr>
      <w:tr w14:paraId="4B5E373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8" w:hRule="atLeast"/>
        </w:trPr>
        <w:tc>
          <w:tcPr>
            <w:tcW w:w="1847" w:type="dxa"/>
            <w:vAlign w:val="top"/>
          </w:tcPr>
          <w:p w14:paraId="6D9E561A">
            <w:pPr>
              <w:pStyle w:val="6"/>
              <w:spacing w:before="192" w:line="241" w:lineRule="auto"/>
              <w:ind w:left="4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842" w:type="dxa"/>
            <w:vAlign w:val="top"/>
          </w:tcPr>
          <w:p w14:paraId="50510D73">
            <w:pPr>
              <w:pStyle w:val="6"/>
              <w:spacing w:before="192" w:line="241" w:lineRule="auto"/>
              <w:ind w:left="1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  <w:vAlign w:val="top"/>
          </w:tcPr>
          <w:p w14:paraId="79FF44EE">
            <w:pPr>
              <w:pStyle w:val="6"/>
              <w:spacing w:before="192" w:line="241" w:lineRule="auto"/>
              <w:ind w:left="3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717" w:type="dxa"/>
            <w:vAlign w:val="top"/>
          </w:tcPr>
          <w:p w14:paraId="3E8F7CD9">
            <w:pPr>
              <w:pStyle w:val="6"/>
              <w:spacing w:before="192" w:line="241" w:lineRule="auto"/>
              <w:ind w:left="2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824" w:type="dxa"/>
            <w:vAlign w:val="top"/>
          </w:tcPr>
          <w:p w14:paraId="2682E2ED">
            <w:pPr>
              <w:pStyle w:val="6"/>
              <w:spacing w:before="192" w:line="241" w:lineRule="auto"/>
              <w:ind w:left="2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997" w:type="dxa"/>
            <w:vAlign w:val="top"/>
          </w:tcPr>
          <w:p w14:paraId="0F55303D">
            <w:pPr>
              <w:pStyle w:val="6"/>
              <w:spacing w:before="192" w:line="241" w:lineRule="auto"/>
              <w:ind w:left="1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</w:tbl>
    <w:p w14:paraId="461DBC48">
      <w:pPr>
        <w:spacing w:line="316" w:lineRule="auto"/>
        <w:rPr>
          <w:rFonts w:ascii="Arial"/>
          <w:sz w:val="21"/>
        </w:rPr>
      </w:pPr>
    </w:p>
    <w:p w14:paraId="3A2406DE">
      <w:pPr>
        <w:spacing w:line="317" w:lineRule="auto"/>
        <w:rPr>
          <w:rFonts w:ascii="Arial"/>
          <w:sz w:val="21"/>
        </w:rPr>
      </w:pPr>
    </w:p>
    <w:p w14:paraId="42868B31">
      <w:pPr>
        <w:spacing w:before="101" w:line="274" w:lineRule="auto"/>
        <w:ind w:left="174" w:right="629" w:firstLine="630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4"/>
          <w:sz w:val="31"/>
          <w:szCs w:val="31"/>
        </w:rPr>
        <w:t>二、2023</w:t>
      </w:r>
      <w:r>
        <w:rPr>
          <w:rFonts w:ascii="黑体" w:hAnsi="黑体" w:eastAsia="黑体" w:cs="黑体"/>
          <w:spacing w:val="-53"/>
          <w:sz w:val="31"/>
          <w:szCs w:val="31"/>
        </w:rPr>
        <w:t xml:space="preserve"> </w:t>
      </w:r>
      <w:r>
        <w:rPr>
          <w:rFonts w:ascii="黑体" w:hAnsi="黑体" w:eastAsia="黑体" w:cs="黑体"/>
          <w:spacing w:val="4"/>
          <w:sz w:val="31"/>
          <w:szCs w:val="31"/>
        </w:rPr>
        <w:t>年一般公共预算“三公”经费支出预算情况说</w:t>
      </w:r>
      <w:r>
        <w:rPr>
          <w:rFonts w:ascii="黑体" w:hAnsi="黑体" w:eastAsia="黑体" w:cs="黑体"/>
          <w:sz w:val="31"/>
          <w:szCs w:val="31"/>
        </w:rPr>
        <w:t xml:space="preserve"> 明</w:t>
      </w:r>
    </w:p>
    <w:p w14:paraId="3ACA98D4">
      <w:pPr>
        <w:pStyle w:val="2"/>
        <w:spacing w:before="158" w:line="322" w:lineRule="auto"/>
        <w:ind w:left="157" w:right="629" w:firstLine="654"/>
      </w:pPr>
      <w:r>
        <w:rPr>
          <w:spacing w:val="10"/>
        </w:rPr>
        <w:t>石台县仙寓山景区管理中心</w:t>
      </w:r>
      <w:r>
        <w:rPr>
          <w:spacing w:val="-43"/>
        </w:rPr>
        <w:t xml:space="preserve"> </w:t>
      </w:r>
      <w:r>
        <w:rPr>
          <w:spacing w:val="10"/>
        </w:rPr>
        <w:t>2023</w:t>
      </w:r>
      <w:r>
        <w:rPr>
          <w:spacing w:val="-54"/>
        </w:rPr>
        <w:t xml:space="preserve"> </w:t>
      </w:r>
      <w:r>
        <w:rPr>
          <w:spacing w:val="10"/>
        </w:rPr>
        <w:t>年一般公共预算“</w:t>
      </w:r>
      <w:r>
        <w:rPr>
          <w:spacing w:val="-111"/>
        </w:rPr>
        <w:t xml:space="preserve"> </w:t>
      </w:r>
      <w:r>
        <w:rPr>
          <w:spacing w:val="10"/>
        </w:rPr>
        <w:t>三</w:t>
      </w:r>
      <w:r>
        <w:t xml:space="preserve"> </w:t>
      </w:r>
      <w:r>
        <w:rPr>
          <w:spacing w:val="8"/>
        </w:rPr>
        <w:t>公”经费支出预算为</w:t>
      </w:r>
      <w:r>
        <w:rPr>
          <w:spacing w:val="-22"/>
        </w:rPr>
        <w:t xml:space="preserve"> </w:t>
      </w:r>
      <w:r>
        <w:rPr>
          <w:spacing w:val="8"/>
        </w:rPr>
        <w:t>0</w:t>
      </w:r>
      <w:r>
        <w:rPr>
          <w:spacing w:val="-37"/>
        </w:rPr>
        <w:t xml:space="preserve"> </w:t>
      </w:r>
      <w:r>
        <w:rPr>
          <w:spacing w:val="8"/>
        </w:rPr>
        <w:t>万元，与</w:t>
      </w:r>
      <w:r>
        <w:rPr>
          <w:spacing w:val="-44"/>
        </w:rPr>
        <w:t xml:space="preserve"> </w:t>
      </w:r>
      <w:r>
        <w:rPr>
          <w:spacing w:val="8"/>
        </w:rPr>
        <w:t>2022</w:t>
      </w:r>
      <w:r>
        <w:rPr>
          <w:spacing w:val="-51"/>
        </w:rPr>
        <w:t xml:space="preserve"> </w:t>
      </w:r>
      <w:r>
        <w:rPr>
          <w:spacing w:val="8"/>
        </w:rPr>
        <w:t>年相比持平。其中：</w:t>
      </w:r>
      <w:r>
        <w:t xml:space="preserve"> </w:t>
      </w:r>
      <w:r>
        <w:rPr>
          <w:spacing w:val="6"/>
        </w:rPr>
        <w:t>因公出国（境）费支出预算为</w:t>
      </w:r>
      <w:r>
        <w:rPr>
          <w:spacing w:val="-33"/>
        </w:rPr>
        <w:t xml:space="preserve"> </w:t>
      </w:r>
      <w:r>
        <w:rPr>
          <w:spacing w:val="6"/>
        </w:rPr>
        <w:t>0</w:t>
      </w:r>
      <w:r>
        <w:rPr>
          <w:spacing w:val="-45"/>
        </w:rPr>
        <w:t xml:space="preserve"> </w:t>
      </w:r>
      <w:r>
        <w:rPr>
          <w:spacing w:val="6"/>
        </w:rPr>
        <w:t>万元，公务接待费支出预算</w:t>
      </w:r>
      <w:r>
        <w:t xml:space="preserve"> </w:t>
      </w:r>
      <w:r>
        <w:rPr>
          <w:spacing w:val="3"/>
        </w:rPr>
        <w:t>为</w:t>
      </w:r>
      <w:r>
        <w:rPr>
          <w:spacing w:val="-27"/>
        </w:rPr>
        <w:t xml:space="preserve"> </w:t>
      </w:r>
      <w:r>
        <w:rPr>
          <w:spacing w:val="3"/>
        </w:rPr>
        <w:t>0</w:t>
      </w:r>
      <w:r>
        <w:rPr>
          <w:spacing w:val="-45"/>
        </w:rPr>
        <w:t xml:space="preserve"> </w:t>
      </w:r>
      <w:r>
        <w:rPr>
          <w:spacing w:val="3"/>
        </w:rPr>
        <w:t>万元，公务用车购置及运行费支出预算为</w:t>
      </w:r>
      <w:r>
        <w:rPr>
          <w:spacing w:val="-40"/>
        </w:rPr>
        <w:t xml:space="preserve"> </w:t>
      </w:r>
      <w:r>
        <w:rPr>
          <w:spacing w:val="3"/>
        </w:rPr>
        <w:t>0</w:t>
      </w:r>
      <w:r>
        <w:rPr>
          <w:spacing w:val="-45"/>
        </w:rPr>
        <w:t xml:space="preserve"> </w:t>
      </w:r>
      <w:r>
        <w:rPr>
          <w:spacing w:val="3"/>
        </w:rPr>
        <w:t>万元。具体</w:t>
      </w:r>
      <w:r>
        <w:t xml:space="preserve"> </w:t>
      </w:r>
      <w:r>
        <w:rPr>
          <w:spacing w:val="5"/>
        </w:rPr>
        <w:t>情况如下：</w:t>
      </w:r>
    </w:p>
    <w:p w14:paraId="2F485A52">
      <w:pPr>
        <w:pStyle w:val="2"/>
        <w:spacing w:before="2" w:line="287" w:lineRule="auto"/>
        <w:ind w:left="155" w:right="475" w:firstLine="636"/>
      </w:pPr>
      <w:r>
        <w:rPr>
          <w:b/>
          <w:bCs/>
          <w:spacing w:val="3"/>
        </w:rPr>
        <w:t>（一）因公出国（境）费</w:t>
      </w:r>
      <w:r>
        <w:rPr>
          <w:spacing w:val="3"/>
        </w:rPr>
        <w:t>支出预算</w:t>
      </w:r>
      <w:r>
        <w:rPr>
          <w:spacing w:val="-33"/>
        </w:rPr>
        <w:t xml:space="preserve"> </w:t>
      </w:r>
      <w:r>
        <w:rPr>
          <w:spacing w:val="3"/>
        </w:rPr>
        <w:t>0</w:t>
      </w:r>
      <w:r>
        <w:rPr>
          <w:spacing w:val="-44"/>
        </w:rPr>
        <w:t xml:space="preserve"> </w:t>
      </w:r>
      <w:r>
        <w:rPr>
          <w:spacing w:val="3"/>
        </w:rPr>
        <w:t>万元, 与</w:t>
      </w:r>
      <w:r>
        <w:rPr>
          <w:spacing w:val="-49"/>
        </w:rPr>
        <w:t xml:space="preserve"> </w:t>
      </w:r>
      <w:r>
        <w:rPr>
          <w:spacing w:val="3"/>
        </w:rPr>
        <w:t>2022</w:t>
      </w:r>
      <w:r>
        <w:rPr>
          <w:spacing w:val="-58"/>
        </w:rPr>
        <w:t xml:space="preserve"> </w:t>
      </w:r>
      <w:r>
        <w:rPr>
          <w:spacing w:val="3"/>
        </w:rPr>
        <w:t>年</w:t>
      </w:r>
      <w:r>
        <w:t xml:space="preserve">   </w:t>
      </w:r>
      <w:r>
        <w:rPr>
          <w:spacing w:val="-4"/>
        </w:rPr>
        <w:t>相比持平，主要原因是</w:t>
      </w:r>
      <w:r>
        <w:rPr>
          <w:spacing w:val="-48"/>
        </w:rPr>
        <w:t xml:space="preserve"> </w:t>
      </w:r>
      <w:r>
        <w:rPr>
          <w:spacing w:val="-4"/>
        </w:rPr>
        <w:t>2022、2023</w:t>
      </w:r>
      <w:r>
        <w:rPr>
          <w:spacing w:val="-58"/>
        </w:rPr>
        <w:t xml:space="preserve"> </w:t>
      </w:r>
      <w:r>
        <w:rPr>
          <w:spacing w:val="-4"/>
        </w:rPr>
        <w:t>年均未安排因公出国（境）</w:t>
      </w:r>
      <w:r>
        <w:t xml:space="preserve"> </w:t>
      </w:r>
      <w:r>
        <w:rPr>
          <w:spacing w:val="3"/>
        </w:rPr>
        <w:t>费用。</w:t>
      </w:r>
    </w:p>
    <w:p w14:paraId="01301B2F">
      <w:pPr>
        <w:pStyle w:val="2"/>
        <w:spacing w:before="175" w:line="307" w:lineRule="auto"/>
        <w:ind w:left="163" w:right="630" w:firstLine="629"/>
      </w:pPr>
      <w:r>
        <w:rPr>
          <w:b/>
          <w:bCs/>
        </w:rPr>
        <w:t>（二）公务用车购置及运行费</w:t>
      </w:r>
      <w:r>
        <w:t>支出预算</w:t>
      </w:r>
      <w:r>
        <w:rPr>
          <w:spacing w:val="-41"/>
        </w:rPr>
        <w:t xml:space="preserve"> </w:t>
      </w:r>
      <w:r>
        <w:t>0</w:t>
      </w:r>
      <w:r>
        <w:rPr>
          <w:spacing w:val="-45"/>
        </w:rPr>
        <w:t xml:space="preserve"> </w:t>
      </w:r>
      <w:r>
        <w:t>万元，与</w:t>
      </w:r>
      <w:r>
        <w:rPr>
          <w:spacing w:val="-48"/>
        </w:rPr>
        <w:t xml:space="preserve"> </w:t>
      </w:r>
      <w:r>
        <w:t xml:space="preserve">2022 </w:t>
      </w:r>
      <w:r>
        <w:rPr>
          <w:spacing w:val="9"/>
        </w:rPr>
        <w:t>年相比持平。其中：公务用车运行费</w:t>
      </w:r>
      <w:r>
        <w:rPr>
          <w:spacing w:val="-34"/>
        </w:rPr>
        <w:t xml:space="preserve"> </w:t>
      </w:r>
      <w:r>
        <w:rPr>
          <w:spacing w:val="9"/>
        </w:rPr>
        <w:t>0</w:t>
      </w:r>
      <w:r>
        <w:rPr>
          <w:spacing w:val="-39"/>
        </w:rPr>
        <w:t xml:space="preserve"> </w:t>
      </w:r>
      <w:r>
        <w:rPr>
          <w:spacing w:val="9"/>
        </w:rPr>
        <w:t>万元，与</w:t>
      </w:r>
      <w:r>
        <w:rPr>
          <w:spacing w:val="-42"/>
        </w:rPr>
        <w:t xml:space="preserve"> </w:t>
      </w:r>
      <w:r>
        <w:rPr>
          <w:spacing w:val="9"/>
        </w:rPr>
        <w:t>20</w:t>
      </w:r>
      <w:r>
        <w:rPr>
          <w:spacing w:val="8"/>
        </w:rPr>
        <w:t>22</w:t>
      </w:r>
      <w:r>
        <w:rPr>
          <w:spacing w:val="-53"/>
        </w:rPr>
        <w:t xml:space="preserve"> </w:t>
      </w:r>
      <w:r>
        <w:rPr>
          <w:spacing w:val="8"/>
        </w:rPr>
        <w:t>年相</w:t>
      </w:r>
      <w:r>
        <w:t xml:space="preserve"> </w:t>
      </w:r>
      <w:r>
        <w:rPr>
          <w:spacing w:val="11"/>
        </w:rPr>
        <w:t>比持平，主要原因是</w:t>
      </w:r>
      <w:r>
        <w:rPr>
          <w:spacing w:val="-51"/>
        </w:rPr>
        <w:t xml:space="preserve"> </w:t>
      </w:r>
      <w:r>
        <w:rPr>
          <w:spacing w:val="11"/>
        </w:rPr>
        <w:t>2022、2023</w:t>
      </w:r>
      <w:r>
        <w:rPr>
          <w:spacing w:val="-40"/>
        </w:rPr>
        <w:t xml:space="preserve"> </w:t>
      </w:r>
      <w:r>
        <w:rPr>
          <w:spacing w:val="11"/>
        </w:rPr>
        <w:t>年均未安排公务用车</w:t>
      </w:r>
      <w:r>
        <w:rPr>
          <w:spacing w:val="10"/>
        </w:rPr>
        <w:t>运行</w:t>
      </w:r>
      <w:r>
        <w:t xml:space="preserve"> </w:t>
      </w:r>
      <w:r>
        <w:rPr>
          <w:spacing w:val="9"/>
        </w:rPr>
        <w:t>费用。公务用车购置费</w:t>
      </w:r>
      <w:r>
        <w:rPr>
          <w:spacing w:val="-34"/>
        </w:rPr>
        <w:t xml:space="preserve"> </w:t>
      </w:r>
      <w:r>
        <w:rPr>
          <w:spacing w:val="9"/>
        </w:rPr>
        <w:t>0</w:t>
      </w:r>
      <w:r>
        <w:rPr>
          <w:spacing w:val="-39"/>
        </w:rPr>
        <w:t xml:space="preserve"> </w:t>
      </w:r>
      <w:r>
        <w:rPr>
          <w:spacing w:val="9"/>
        </w:rPr>
        <w:t>万元，与</w:t>
      </w:r>
      <w:r>
        <w:rPr>
          <w:spacing w:val="-42"/>
        </w:rPr>
        <w:t xml:space="preserve"> </w:t>
      </w:r>
      <w:r>
        <w:rPr>
          <w:spacing w:val="9"/>
        </w:rPr>
        <w:t>2022</w:t>
      </w:r>
      <w:r>
        <w:rPr>
          <w:spacing w:val="-53"/>
        </w:rPr>
        <w:t xml:space="preserve"> </w:t>
      </w:r>
      <w:r>
        <w:rPr>
          <w:spacing w:val="9"/>
        </w:rPr>
        <w:t>年相比持</w:t>
      </w:r>
      <w:r>
        <w:rPr>
          <w:spacing w:val="8"/>
        </w:rPr>
        <w:t>平，主要</w:t>
      </w:r>
      <w:r>
        <w:t xml:space="preserve"> </w:t>
      </w:r>
      <w:r>
        <w:rPr>
          <w:spacing w:val="7"/>
        </w:rPr>
        <w:t>原因是</w:t>
      </w:r>
      <w:r>
        <w:rPr>
          <w:rFonts w:ascii="Times New Roman" w:hAnsi="Times New Roman" w:eastAsia="Times New Roman" w:cs="Times New Roman"/>
          <w:spacing w:val="7"/>
        </w:rPr>
        <w:t>2022</w:t>
      </w:r>
      <w:r>
        <w:rPr>
          <w:rFonts w:ascii="Times New Roman" w:hAnsi="Times New Roman" w:eastAsia="Times New Roman" w:cs="Times New Roman"/>
          <w:spacing w:val="-17"/>
        </w:rPr>
        <w:t xml:space="preserve"> </w:t>
      </w:r>
      <w:r>
        <w:rPr>
          <w:spacing w:val="7"/>
        </w:rPr>
        <w:t>、</w:t>
      </w:r>
      <w:r>
        <w:rPr>
          <w:rFonts w:ascii="Times New Roman" w:hAnsi="Times New Roman" w:eastAsia="Times New Roman" w:cs="Times New Roman"/>
          <w:spacing w:val="7"/>
        </w:rPr>
        <w:t>2023</w:t>
      </w:r>
      <w:r>
        <w:rPr>
          <w:rFonts w:ascii="Times New Roman" w:hAnsi="Times New Roman" w:eastAsia="Times New Roman" w:cs="Times New Roman"/>
          <w:spacing w:val="30"/>
          <w:w w:val="101"/>
        </w:rPr>
        <w:t xml:space="preserve"> </w:t>
      </w:r>
      <w:r>
        <w:rPr>
          <w:spacing w:val="7"/>
        </w:rPr>
        <w:t>年均未安排公务用车购置费用。</w:t>
      </w:r>
    </w:p>
    <w:p w14:paraId="630FC8B1">
      <w:pPr>
        <w:spacing w:line="307" w:lineRule="auto"/>
        <w:sectPr>
          <w:footerReference r:id="rId5" w:type="default"/>
          <w:pgSz w:w="11906" w:h="16839"/>
          <w:pgMar w:top="1431" w:right="1170" w:bottom="1213" w:left="1653" w:header="0" w:footer="936" w:gutter="0"/>
          <w:cols w:space="720" w:num="1"/>
        </w:sectPr>
      </w:pPr>
    </w:p>
    <w:p w14:paraId="03A696F7">
      <w:pPr>
        <w:pStyle w:val="2"/>
        <w:spacing w:before="171" w:line="313" w:lineRule="auto"/>
        <w:ind w:left="20" w:right="16" w:firstLine="638"/>
        <w:jc w:val="both"/>
      </w:pPr>
      <w:r>
        <w:rPr>
          <w:b/>
          <w:bCs/>
          <w:spacing w:val="8"/>
        </w:rPr>
        <w:t>（三）公务接待费</w:t>
      </w:r>
      <w:r>
        <w:rPr>
          <w:spacing w:val="8"/>
        </w:rPr>
        <w:t>支出预算</w:t>
      </w:r>
      <w:r>
        <w:rPr>
          <w:spacing w:val="-32"/>
        </w:rPr>
        <w:t xml:space="preserve"> </w:t>
      </w:r>
      <w:r>
        <w:rPr>
          <w:spacing w:val="8"/>
        </w:rPr>
        <w:t>0</w:t>
      </w:r>
      <w:r>
        <w:rPr>
          <w:spacing w:val="-38"/>
        </w:rPr>
        <w:t xml:space="preserve"> </w:t>
      </w:r>
      <w:r>
        <w:rPr>
          <w:spacing w:val="8"/>
        </w:rPr>
        <w:t>万元，与</w:t>
      </w:r>
      <w:r>
        <w:rPr>
          <w:spacing w:val="-41"/>
        </w:rPr>
        <w:t xml:space="preserve"> </w:t>
      </w:r>
      <w:r>
        <w:rPr>
          <w:spacing w:val="8"/>
        </w:rPr>
        <w:t>2022</w:t>
      </w:r>
      <w:r>
        <w:rPr>
          <w:spacing w:val="-53"/>
        </w:rPr>
        <w:t xml:space="preserve"> </w:t>
      </w:r>
      <w:r>
        <w:rPr>
          <w:spacing w:val="8"/>
        </w:rPr>
        <w:t>年相比持</w:t>
      </w:r>
      <w:r>
        <w:t xml:space="preserve"> </w:t>
      </w:r>
      <w:r>
        <w:rPr>
          <w:spacing w:val="10"/>
        </w:rPr>
        <w:t>平，主要原因是</w:t>
      </w:r>
      <w:r>
        <w:rPr>
          <w:spacing w:val="-59"/>
        </w:rPr>
        <w:t xml:space="preserve"> </w:t>
      </w:r>
      <w:r>
        <w:rPr>
          <w:rFonts w:ascii="Times New Roman" w:hAnsi="Times New Roman" w:eastAsia="Times New Roman" w:cs="Times New Roman"/>
          <w:spacing w:val="10"/>
        </w:rPr>
        <w:t>2022</w:t>
      </w:r>
      <w:r>
        <w:rPr>
          <w:rFonts w:ascii="Times New Roman" w:hAnsi="Times New Roman" w:eastAsia="Times New Roman" w:cs="Times New Roman"/>
          <w:spacing w:val="-27"/>
        </w:rPr>
        <w:t xml:space="preserve"> </w:t>
      </w:r>
      <w:r>
        <w:rPr>
          <w:spacing w:val="10"/>
        </w:rPr>
        <w:t>、</w:t>
      </w:r>
      <w:r>
        <w:rPr>
          <w:rFonts w:ascii="Times New Roman" w:hAnsi="Times New Roman" w:eastAsia="Times New Roman" w:cs="Times New Roman"/>
          <w:spacing w:val="10"/>
        </w:rPr>
        <w:t>2023</w:t>
      </w:r>
      <w:r>
        <w:rPr>
          <w:rFonts w:ascii="Times New Roman" w:hAnsi="Times New Roman" w:eastAsia="Times New Roman" w:cs="Times New Roman"/>
          <w:spacing w:val="38"/>
        </w:rPr>
        <w:t xml:space="preserve"> </w:t>
      </w:r>
      <w:r>
        <w:rPr>
          <w:spacing w:val="10"/>
        </w:rPr>
        <w:t>年均未安排公务</w:t>
      </w:r>
      <w:r>
        <w:rPr>
          <w:spacing w:val="9"/>
        </w:rPr>
        <w:t>接待费用。经</w:t>
      </w:r>
      <w:r>
        <w:t xml:space="preserve"> </w:t>
      </w:r>
      <w:r>
        <w:rPr>
          <w:spacing w:val="11"/>
        </w:rPr>
        <w:t>费使用按照</w:t>
      </w:r>
      <w:bookmarkStart w:id="0" w:name="_GoBack"/>
      <w:bookmarkEnd w:id="0"/>
      <w:r>
        <w:rPr>
          <w:spacing w:val="11"/>
        </w:rPr>
        <w:t>中央八项规定精神和省委省政府</w:t>
      </w:r>
      <w:r>
        <w:rPr>
          <w:spacing w:val="-18"/>
        </w:rPr>
        <w:t xml:space="preserve"> </w:t>
      </w:r>
      <w:r>
        <w:rPr>
          <w:spacing w:val="11"/>
        </w:rPr>
        <w:t>30</w:t>
      </w:r>
      <w:r>
        <w:rPr>
          <w:spacing w:val="-54"/>
        </w:rPr>
        <w:t xml:space="preserve"> </w:t>
      </w:r>
      <w:r>
        <w:rPr>
          <w:spacing w:val="11"/>
        </w:rPr>
        <w:t>条要求，</w:t>
      </w:r>
      <w:r>
        <w:t xml:space="preserve"> </w:t>
      </w:r>
      <w:r>
        <w:rPr>
          <w:spacing w:val="9"/>
        </w:rPr>
        <w:t>严格执行《党政机关厉行节约反对浪费条例》等相关规定</w:t>
      </w:r>
    </w:p>
    <w:p w14:paraId="2B281C22">
      <w:pPr>
        <w:pStyle w:val="2"/>
        <w:spacing w:before="281" w:line="137" w:lineRule="exact"/>
        <w:ind w:left="48"/>
      </w:pPr>
      <w:r>
        <w:rPr>
          <w:position w:val="2"/>
        </w:rPr>
        <w:t>。</w:t>
      </w:r>
    </w:p>
    <w:sectPr>
      <w:footerReference r:id="rId6" w:type="default"/>
      <w:pgSz w:w="11906" w:h="16839"/>
      <w:pgMar w:top="1431" w:right="1785" w:bottom="1213" w:left="1785" w:header="0" w:footer="936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EA82CD">
    <w:pPr>
      <w:spacing w:line="266" w:lineRule="exact"/>
      <w:ind w:left="8377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position w:val="2"/>
        <w:sz w:val="18"/>
        <w:szCs w:val="18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3380BC">
    <w:pPr>
      <w:spacing w:line="266" w:lineRule="exact"/>
      <w:ind w:right="3"/>
      <w:jc w:val="right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position w:val="2"/>
        <w:sz w:val="18"/>
        <w:szCs w:val="18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740B3F0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FangSong_GB2312" w:hAnsi="FangSong_GB2312" w:eastAsia="FangSong_GB2312" w:cs="FangSong_GB2312"/>
      <w:sz w:val="31"/>
      <w:szCs w:val="3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494</Words>
  <Characters>549</Characters>
  <TotalTime>0</TotalTime>
  <ScaleCrop>false</ScaleCrop>
  <LinksUpToDate>false</LinksUpToDate>
  <CharactersWithSpaces>614</CharactersWithSpaces>
  <Application>WPS Office_12.1.0.22529_F1E327BC-269C-435d-A152-05C5408002CA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2025-07-30T10:28:00Z</dcterms:created>
  <dc:creator>q</dc:creator>
  <cp:lastModifiedBy>沐颜SEVEN</cp:lastModifiedBy>
  <dcterms:modified xsi:type="dcterms:W3CDTF">2025-08-28T08:49:04Z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2025-08-28T16:47:01Z</vt:filetime>
  </property>
  <property fmtid="{D5CDD505-2E9C-101B-9397-08002B2CF9AE}" pid="4" name="KSOTemplateDocerSaveRecord">
    <vt:lpwstr>eyJoZGlkIjoiMmNmNjIyY2I4MjA3OGQ3OTlhYmQ5NjM5NTBiNDY4ZWMiLCJ1c2VySWQiOiI0MDA1ODE1NjMifQ==</vt:lpwstr>
  </property>
  <property fmtid="{D5CDD505-2E9C-101B-9397-08002B2CF9AE}" pid="5" name="KSOProductBuildVer">
    <vt:lpwstr>2052-12.1.0.22529</vt:lpwstr>
  </property>
  <property fmtid="{D5CDD505-2E9C-101B-9397-08002B2CF9AE}" pid="6" name="ICV">
    <vt:lpwstr>F3A7F9E32621487EBDCB2E739454BA1F_13</vt:lpwstr>
  </property>
</Properties>
</file>