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30E23" w14:textId="79F51966" w:rsidR="007A5966" w:rsidRPr="00BE2B22" w:rsidRDefault="00D75A97" w:rsidP="00FC623A">
      <w:pPr>
        <w:spacing w:line="6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BE2B22">
        <w:rPr>
          <w:rFonts w:ascii="方正小标宋简体" w:eastAsia="方正小标宋简体" w:hint="eastAsia"/>
          <w:bCs/>
          <w:sz w:val="44"/>
          <w:szCs w:val="44"/>
        </w:rPr>
        <w:t>关于</w:t>
      </w:r>
      <w:proofErr w:type="gramStart"/>
      <w:r w:rsidRPr="00BE2B22">
        <w:rPr>
          <w:rFonts w:ascii="方正小标宋简体" w:eastAsia="方正小标宋简体" w:hint="eastAsia"/>
          <w:bCs/>
          <w:sz w:val="44"/>
          <w:szCs w:val="44"/>
        </w:rPr>
        <w:t>《</w:t>
      </w:r>
      <w:proofErr w:type="gramEnd"/>
      <w:r w:rsidRPr="00BE2B22">
        <w:rPr>
          <w:rFonts w:ascii="方正小标宋简体" w:eastAsia="方正小标宋简体" w:hint="eastAsia"/>
          <w:bCs/>
          <w:sz w:val="44"/>
          <w:szCs w:val="44"/>
        </w:rPr>
        <w:t>石台县健全重特大疾病医疗保险</w:t>
      </w:r>
      <w:proofErr w:type="gramStart"/>
      <w:r w:rsidRPr="00BE2B22">
        <w:rPr>
          <w:rFonts w:ascii="方正小标宋简体" w:eastAsia="方正小标宋简体" w:hint="eastAsia"/>
          <w:bCs/>
          <w:sz w:val="44"/>
          <w:szCs w:val="44"/>
        </w:rPr>
        <w:t>和</w:t>
      </w:r>
      <w:proofErr w:type="gramEnd"/>
    </w:p>
    <w:p w14:paraId="16E24E7A" w14:textId="77777777" w:rsidR="007A5966" w:rsidRPr="00BE2B22" w:rsidRDefault="00D75A97" w:rsidP="00FC623A">
      <w:pPr>
        <w:spacing w:line="6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BE2B22">
        <w:rPr>
          <w:rFonts w:ascii="方正小标宋简体" w:eastAsia="方正小标宋简体" w:hint="eastAsia"/>
          <w:bCs/>
          <w:sz w:val="44"/>
          <w:szCs w:val="44"/>
        </w:rPr>
        <w:t>救助制度</w:t>
      </w:r>
      <w:bookmarkStart w:id="0" w:name="_GoBack"/>
      <w:bookmarkEnd w:id="0"/>
      <w:r w:rsidRPr="00BE2B22">
        <w:rPr>
          <w:rFonts w:ascii="方正小标宋简体" w:eastAsia="方正小标宋简体" w:hint="eastAsia"/>
          <w:bCs/>
          <w:color w:val="000000" w:themeColor="text1"/>
          <w:sz w:val="44"/>
          <w:szCs w:val="44"/>
        </w:rPr>
        <w:t>实施细则（送审稿）</w:t>
      </w:r>
      <w:r w:rsidRPr="00BE2B22">
        <w:rPr>
          <w:rFonts w:ascii="方正小标宋简体" w:eastAsia="方正小标宋简体" w:hint="eastAsia"/>
          <w:bCs/>
          <w:sz w:val="44"/>
          <w:szCs w:val="44"/>
        </w:rPr>
        <w:t>》</w:t>
      </w:r>
    </w:p>
    <w:p w14:paraId="02E9583E" w14:textId="77777777" w:rsidR="007A5966" w:rsidRPr="00BE2B22" w:rsidRDefault="00D75A97" w:rsidP="00FC623A">
      <w:pPr>
        <w:spacing w:line="66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 w:rsidRPr="00BE2B22">
        <w:rPr>
          <w:rFonts w:ascii="方正小标宋简体" w:eastAsia="方正小标宋简体" w:hint="eastAsia"/>
          <w:bCs/>
          <w:sz w:val="44"/>
          <w:szCs w:val="44"/>
        </w:rPr>
        <w:t>的起草说明</w:t>
      </w:r>
    </w:p>
    <w:p w14:paraId="6AFE335E" w14:textId="77777777" w:rsidR="006B245F" w:rsidRDefault="006B245F">
      <w:pPr>
        <w:spacing w:line="560" w:lineRule="exact"/>
        <w:jc w:val="center"/>
        <w:rPr>
          <w:rFonts w:ascii="楷体_GB2312" w:eastAsia="楷体_GB2312"/>
          <w:b/>
          <w:sz w:val="32"/>
          <w:szCs w:val="32"/>
        </w:rPr>
      </w:pPr>
    </w:p>
    <w:p w14:paraId="436A3D07" w14:textId="77777777" w:rsidR="007A5966" w:rsidRPr="004970CC" w:rsidRDefault="007A5966">
      <w:pPr>
        <w:spacing w:line="560" w:lineRule="exact"/>
        <w:rPr>
          <w:rFonts w:ascii="仿宋_GB2312" w:eastAsia="仿宋_GB2312"/>
          <w:sz w:val="32"/>
          <w:szCs w:val="32"/>
        </w:rPr>
      </w:pPr>
    </w:p>
    <w:p w14:paraId="5DB3FC59" w14:textId="77777777" w:rsidR="007A5966" w:rsidRDefault="00D75A97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为建立健全防范和</w:t>
      </w:r>
      <w:proofErr w:type="gramStart"/>
      <w:r>
        <w:rPr>
          <w:rFonts w:ascii="仿宋_GB2312" w:eastAsia="仿宋_GB2312" w:hint="eastAsia"/>
          <w:sz w:val="32"/>
          <w:szCs w:val="32"/>
        </w:rPr>
        <w:t>化解因</w:t>
      </w:r>
      <w:proofErr w:type="gramEnd"/>
      <w:r>
        <w:rPr>
          <w:rFonts w:ascii="仿宋_GB2312" w:eastAsia="仿宋_GB2312" w:hint="eastAsia"/>
          <w:sz w:val="32"/>
          <w:szCs w:val="32"/>
        </w:rPr>
        <w:t>病致贫返贫长效机制，强化基本医疗保险、大病保险、医疗救助三重制度综合保障，我局拟制了《石台县健全重特大疾病医疗保险和救助制度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实施细则</w:t>
      </w:r>
      <w:r>
        <w:rPr>
          <w:rFonts w:ascii="仿宋_GB2312" w:eastAsia="仿宋_GB2312" w:hint="eastAsia"/>
          <w:sz w:val="32"/>
          <w:szCs w:val="32"/>
        </w:rPr>
        <w:t>》（征求意见稿）（以下简称《实施细则》）。现将有关情况说明如下。</w:t>
      </w:r>
    </w:p>
    <w:p w14:paraId="5CE4D51F" w14:textId="77777777" w:rsidR="007A5966" w:rsidRDefault="00D75A97">
      <w:pPr>
        <w:spacing w:line="560" w:lineRule="exact"/>
        <w:ind w:firstLine="641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一、起草依据</w:t>
      </w:r>
    </w:p>
    <w:p w14:paraId="51D0EA97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主要依据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《</w:t>
      </w:r>
      <w:r>
        <w:rPr>
          <w:rFonts w:ascii="仿宋_GB2312" w:eastAsia="仿宋_GB2312" w:hint="eastAsia"/>
          <w:color w:val="000000" w:themeColor="text1"/>
          <w:spacing w:val="8"/>
          <w:sz w:val="32"/>
          <w:szCs w:val="32"/>
          <w:shd w:val="clear" w:color="auto" w:fill="FFFFFF"/>
        </w:rPr>
        <w:t>安徽省健全重特大疾病医疗保险和救助制度若干举措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》和《</w:t>
      </w:r>
      <w:r>
        <w:rPr>
          <w:rFonts w:ascii="仿宋_GB2312" w:eastAsia="仿宋_GB2312" w:hint="eastAsia"/>
          <w:sz w:val="32"/>
          <w:szCs w:val="32"/>
        </w:rPr>
        <w:t>池州市健全重特大疾病医疗保险和救助制度若干举措》。</w:t>
      </w:r>
    </w:p>
    <w:p w14:paraId="56C48503" w14:textId="77777777" w:rsidR="007A5966" w:rsidRDefault="00D75A97">
      <w:pPr>
        <w:spacing w:line="560" w:lineRule="exact"/>
        <w:ind w:firstLine="641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二、起草过程</w:t>
      </w:r>
    </w:p>
    <w:p w14:paraId="4C2F9BFB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县</w:t>
      </w:r>
      <w:proofErr w:type="gramStart"/>
      <w:r>
        <w:rPr>
          <w:rFonts w:ascii="仿宋_GB2312" w:eastAsia="仿宋_GB2312" w:hint="eastAsia"/>
          <w:sz w:val="32"/>
          <w:szCs w:val="32"/>
        </w:rPr>
        <w:t>医</w:t>
      </w:r>
      <w:proofErr w:type="gramEnd"/>
      <w:r>
        <w:rPr>
          <w:rFonts w:ascii="仿宋_GB2312" w:eastAsia="仿宋_GB2312" w:hint="eastAsia"/>
          <w:sz w:val="32"/>
          <w:szCs w:val="32"/>
        </w:rPr>
        <w:t>保局在深入调查研究的基础上，起草了《石台县健全重特大疾病医疗保险和救助制度</w:t>
      </w:r>
      <w:r>
        <w:rPr>
          <w:rFonts w:ascii="仿宋_GB2312" w:eastAsia="仿宋_GB2312" w:hint="eastAsia"/>
          <w:color w:val="000000" w:themeColor="text1"/>
          <w:sz w:val="32"/>
          <w:szCs w:val="32"/>
        </w:rPr>
        <w:t>实施细则</w:t>
      </w:r>
      <w:r>
        <w:rPr>
          <w:rFonts w:ascii="仿宋_GB2312" w:eastAsia="仿宋_GB2312" w:hint="eastAsia"/>
          <w:sz w:val="32"/>
          <w:szCs w:val="32"/>
        </w:rPr>
        <w:t>》，并征求相关部门的意见建议，形成了送审稿。</w:t>
      </w:r>
    </w:p>
    <w:p w14:paraId="597FC87E" w14:textId="77777777" w:rsidR="007A5966" w:rsidRDefault="00D75A97">
      <w:pPr>
        <w:spacing w:line="560" w:lineRule="exact"/>
        <w:ind w:firstLine="641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三、主要内容</w:t>
      </w:r>
    </w:p>
    <w:p w14:paraId="163B8196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《实施细则》分为六大部分。</w:t>
      </w:r>
    </w:p>
    <w:p w14:paraId="03E71BFB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第一部分：明确救助对象范围。</w:t>
      </w:r>
      <w:r>
        <w:rPr>
          <w:rFonts w:ascii="仿宋_GB2312" w:eastAsia="仿宋_GB2312" w:hint="eastAsia"/>
          <w:sz w:val="32"/>
          <w:szCs w:val="32"/>
        </w:rPr>
        <w:t>主要是特困人员（五保）、</w:t>
      </w:r>
      <w:proofErr w:type="gramStart"/>
      <w:r>
        <w:rPr>
          <w:rFonts w:ascii="仿宋_GB2312" w:eastAsia="仿宋_GB2312" w:hint="eastAsia"/>
          <w:sz w:val="32"/>
          <w:szCs w:val="32"/>
        </w:rPr>
        <w:t>低保对象</w:t>
      </w:r>
      <w:proofErr w:type="gramEnd"/>
      <w:r>
        <w:rPr>
          <w:rFonts w:ascii="仿宋_GB2312" w:eastAsia="仿宋_GB2312" w:hint="eastAsia"/>
          <w:sz w:val="32"/>
          <w:szCs w:val="32"/>
        </w:rPr>
        <w:t>、</w:t>
      </w:r>
      <w:proofErr w:type="gramStart"/>
      <w:r>
        <w:rPr>
          <w:rFonts w:ascii="仿宋_GB2312" w:eastAsia="仿宋_GB2312" w:hint="eastAsia"/>
          <w:sz w:val="32"/>
          <w:szCs w:val="32"/>
        </w:rPr>
        <w:t>低保边缘</w:t>
      </w:r>
      <w:proofErr w:type="gramEnd"/>
      <w:r>
        <w:rPr>
          <w:rFonts w:ascii="仿宋_GB2312" w:eastAsia="仿宋_GB2312" w:hint="eastAsia"/>
          <w:sz w:val="32"/>
          <w:szCs w:val="32"/>
        </w:rPr>
        <w:t>家庭成员、返贫致贫人口、防止返贫监测对象、因病致贫重病患者，以及县政府规定的其他特殊困难人员</w:t>
      </w:r>
      <w:r>
        <w:rPr>
          <w:rFonts w:ascii="仿宋_GB2312" w:eastAsia="仿宋_GB2312" w:hint="eastAsia"/>
          <w:sz w:val="32"/>
          <w:szCs w:val="32"/>
        </w:rPr>
        <w:lastRenderedPageBreak/>
        <w:t>（如，重点优抚对象）。细化因病致贫重病患者认定条件。对高</w:t>
      </w:r>
      <w:r>
        <w:rPr>
          <w:rFonts w:ascii="仿宋_GB2312" w:eastAsia="仿宋_GB2312" w:hint="eastAsia"/>
          <w:sz w:val="32"/>
          <w:szCs w:val="32"/>
        </w:rPr>
        <w:t>额医疗费用分类监测预警</w:t>
      </w:r>
      <w:proofErr w:type="gramStart"/>
      <w:r>
        <w:rPr>
          <w:rFonts w:ascii="仿宋_GB2312" w:eastAsia="仿宋_GB2312" w:hint="eastAsia"/>
          <w:sz w:val="32"/>
          <w:szCs w:val="32"/>
        </w:rPr>
        <w:t>作出</w:t>
      </w:r>
      <w:proofErr w:type="gramEnd"/>
      <w:r>
        <w:rPr>
          <w:rFonts w:ascii="仿宋_GB2312" w:eastAsia="仿宋_GB2312" w:hint="eastAsia"/>
          <w:sz w:val="32"/>
          <w:szCs w:val="32"/>
        </w:rPr>
        <w:t>制度安排。</w:t>
      </w:r>
    </w:p>
    <w:p w14:paraId="54292068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第二部分：发挥主体保障功能。</w:t>
      </w:r>
      <w:r>
        <w:rPr>
          <w:rFonts w:ascii="仿宋_GB2312" w:eastAsia="仿宋_GB2312" w:hint="eastAsia"/>
          <w:sz w:val="32"/>
          <w:szCs w:val="32"/>
        </w:rPr>
        <w:t>规范分类参保资助政策，对特困人员、</w:t>
      </w:r>
      <w:proofErr w:type="gramStart"/>
      <w:r>
        <w:rPr>
          <w:rFonts w:ascii="仿宋_GB2312" w:eastAsia="仿宋_GB2312" w:hint="eastAsia"/>
          <w:sz w:val="32"/>
          <w:szCs w:val="32"/>
        </w:rPr>
        <w:t>低保对象</w:t>
      </w:r>
      <w:proofErr w:type="gramEnd"/>
      <w:r>
        <w:rPr>
          <w:rFonts w:ascii="仿宋_GB2312" w:eastAsia="仿宋_GB2312" w:hint="eastAsia"/>
          <w:sz w:val="32"/>
          <w:szCs w:val="32"/>
        </w:rPr>
        <w:t>、返贫致贫人口、防止返贫监测对象按规定比例给予定额资助。在落实基本</w:t>
      </w:r>
      <w:proofErr w:type="gramStart"/>
      <w:r>
        <w:rPr>
          <w:rFonts w:ascii="仿宋_GB2312" w:eastAsia="仿宋_GB2312" w:hint="eastAsia"/>
          <w:sz w:val="32"/>
          <w:szCs w:val="32"/>
        </w:rPr>
        <w:t>医</w:t>
      </w:r>
      <w:proofErr w:type="gramEnd"/>
      <w:r>
        <w:rPr>
          <w:rFonts w:ascii="仿宋_GB2312" w:eastAsia="仿宋_GB2312" w:hint="eastAsia"/>
          <w:sz w:val="32"/>
          <w:szCs w:val="32"/>
        </w:rPr>
        <w:t>保、大病保险普惠待遇的基础上，对救助对象实施医疗救助，促进三重制度互补衔接。</w:t>
      </w:r>
    </w:p>
    <w:p w14:paraId="48CD26C6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第三部分：完善</w:t>
      </w:r>
      <w:proofErr w:type="gramStart"/>
      <w:r>
        <w:rPr>
          <w:rFonts w:ascii="楷体_GB2312" w:eastAsia="楷体_GB2312" w:hint="eastAsia"/>
          <w:b/>
          <w:bCs/>
          <w:sz w:val="32"/>
          <w:szCs w:val="32"/>
        </w:rPr>
        <w:t>托底保障</w:t>
      </w:r>
      <w:proofErr w:type="gramEnd"/>
      <w:r>
        <w:rPr>
          <w:rFonts w:ascii="楷体_GB2312" w:eastAsia="楷体_GB2312" w:hint="eastAsia"/>
          <w:b/>
          <w:bCs/>
          <w:sz w:val="32"/>
          <w:szCs w:val="32"/>
        </w:rPr>
        <w:t>作用。</w:t>
      </w:r>
      <w:r>
        <w:rPr>
          <w:rFonts w:ascii="仿宋_GB2312" w:eastAsia="仿宋_GB2312" w:hint="eastAsia"/>
          <w:b/>
          <w:bCs/>
          <w:sz w:val="32"/>
          <w:szCs w:val="32"/>
        </w:rPr>
        <w:t>一是</w:t>
      </w:r>
      <w:r>
        <w:rPr>
          <w:rFonts w:ascii="仿宋_GB2312" w:eastAsia="仿宋_GB2312" w:hint="eastAsia"/>
          <w:sz w:val="32"/>
          <w:szCs w:val="32"/>
        </w:rPr>
        <w:t>界定救助费用范围。救助对象在参保地定点医疗机构或按规定转诊（急诊、抢救除外）异地就医发生的住院费用及慢性病、特殊病门诊费用。未按规定转诊的异地就医费用原则上不纳入救助范围。由医疗救助基金支付的药品、医用耗材、诊疗项目，与基本</w:t>
      </w:r>
      <w:proofErr w:type="gramStart"/>
      <w:r>
        <w:rPr>
          <w:rFonts w:ascii="仿宋_GB2312" w:eastAsia="仿宋_GB2312" w:hint="eastAsia"/>
          <w:sz w:val="32"/>
          <w:szCs w:val="32"/>
        </w:rPr>
        <w:t>医</w:t>
      </w:r>
      <w:proofErr w:type="gramEnd"/>
      <w:r>
        <w:rPr>
          <w:rFonts w:ascii="仿宋_GB2312" w:eastAsia="仿宋_GB2312" w:hint="eastAsia"/>
          <w:sz w:val="32"/>
          <w:szCs w:val="32"/>
        </w:rPr>
        <w:t>保、大病保险支付范围有效衔接。</w:t>
      </w:r>
      <w:r>
        <w:rPr>
          <w:rFonts w:ascii="仿宋_GB2312" w:eastAsia="仿宋_GB2312" w:hint="eastAsia"/>
          <w:b/>
          <w:bCs/>
          <w:sz w:val="32"/>
          <w:szCs w:val="32"/>
        </w:rPr>
        <w:t>二是</w:t>
      </w:r>
      <w:r>
        <w:rPr>
          <w:rFonts w:ascii="仿宋_GB2312" w:eastAsia="仿宋_GB2312" w:hint="eastAsia"/>
          <w:sz w:val="32"/>
          <w:szCs w:val="32"/>
        </w:rPr>
        <w:t>确定基本救助水平。设定各类救助对象起付标准、救助比例和救助限额。</w:t>
      </w:r>
      <w:r>
        <w:rPr>
          <w:rFonts w:ascii="仿宋_GB2312" w:eastAsia="仿宋_GB2312" w:hint="eastAsia"/>
          <w:b/>
          <w:bCs/>
          <w:sz w:val="32"/>
          <w:szCs w:val="32"/>
        </w:rPr>
        <w:t>三是</w:t>
      </w:r>
      <w:r>
        <w:rPr>
          <w:rFonts w:ascii="仿宋_GB2312" w:eastAsia="仿宋_GB2312" w:hint="eastAsia"/>
          <w:sz w:val="32"/>
          <w:szCs w:val="32"/>
        </w:rPr>
        <w:t>完善倾斜救助措施。</w:t>
      </w:r>
      <w:r>
        <w:rPr>
          <w:rFonts w:ascii="仿宋_GB2312" w:eastAsia="仿宋_GB2312" w:hint="eastAsia"/>
          <w:b/>
          <w:bCs/>
          <w:sz w:val="32"/>
          <w:szCs w:val="32"/>
        </w:rPr>
        <w:t>四是</w:t>
      </w:r>
      <w:r>
        <w:rPr>
          <w:rFonts w:ascii="仿宋_GB2312" w:eastAsia="仿宋_GB2312" w:hint="eastAsia"/>
          <w:sz w:val="32"/>
          <w:szCs w:val="32"/>
        </w:rPr>
        <w:t>明确依申请救助渠道。户申请，村（社区）评议，乡镇审核，</w:t>
      </w:r>
      <w:proofErr w:type="gramStart"/>
      <w:r>
        <w:rPr>
          <w:rFonts w:ascii="仿宋_GB2312" w:eastAsia="仿宋_GB2312" w:hint="eastAsia"/>
          <w:sz w:val="32"/>
          <w:szCs w:val="32"/>
        </w:rPr>
        <w:t>医</w:t>
      </w:r>
      <w:proofErr w:type="gramEnd"/>
      <w:r>
        <w:rPr>
          <w:rFonts w:ascii="仿宋_GB2312" w:eastAsia="仿宋_GB2312" w:hint="eastAsia"/>
          <w:sz w:val="32"/>
          <w:szCs w:val="32"/>
        </w:rPr>
        <w:t>保与民政、乡村振兴等部门联合确定）。</w:t>
      </w:r>
    </w:p>
    <w:p w14:paraId="0155507A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第四部分：拓宽社会综合救助渠道。</w:t>
      </w:r>
      <w:r>
        <w:rPr>
          <w:rFonts w:ascii="仿宋_GB2312" w:eastAsia="仿宋_GB2312" w:hint="eastAsia"/>
          <w:sz w:val="32"/>
          <w:szCs w:val="32"/>
        </w:rPr>
        <w:t>主要是：慈善救助、医疗互助和商业健康保险等方面。</w:t>
      </w:r>
    </w:p>
    <w:p w14:paraId="40FD03EE" w14:textId="77777777" w:rsidR="007A5966" w:rsidRDefault="00D75A97">
      <w:pPr>
        <w:spacing w:line="560" w:lineRule="exact"/>
        <w:ind w:firstLine="641"/>
        <w:rPr>
          <w:rFonts w:ascii="仿宋_GB2312" w:eastAsia="仿宋_GB2312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第五部分：规范三重保障服务管理。</w:t>
      </w:r>
      <w:r>
        <w:rPr>
          <w:rFonts w:ascii="仿宋_GB2312" w:eastAsia="仿宋_GB2312" w:hint="eastAsia"/>
          <w:b/>
          <w:bCs/>
          <w:sz w:val="32"/>
          <w:szCs w:val="32"/>
        </w:rPr>
        <w:t>一是</w:t>
      </w:r>
      <w:r>
        <w:rPr>
          <w:rFonts w:ascii="仿宋_GB2312" w:eastAsia="仿宋_GB2312" w:hint="eastAsia"/>
          <w:sz w:val="32"/>
          <w:szCs w:val="32"/>
        </w:rPr>
        <w:t>优化经办服务程序。实行“一站式”服务、“一窗口”办理、“一单制”结算。</w:t>
      </w:r>
      <w:r>
        <w:rPr>
          <w:rFonts w:ascii="仿宋_GB2312" w:eastAsia="仿宋_GB2312" w:hint="eastAsia"/>
          <w:b/>
          <w:bCs/>
          <w:sz w:val="32"/>
          <w:szCs w:val="32"/>
        </w:rPr>
        <w:t>二是</w:t>
      </w:r>
      <w:r>
        <w:rPr>
          <w:rFonts w:ascii="仿宋_GB2312" w:eastAsia="仿宋_GB2312" w:hint="eastAsia"/>
          <w:sz w:val="32"/>
          <w:szCs w:val="32"/>
        </w:rPr>
        <w:t>加强医疗服务管理。三是严格救助基金监管。</w:t>
      </w:r>
    </w:p>
    <w:p w14:paraId="3C8B08FE" w14:textId="0DBF2AB3" w:rsidR="007A5966" w:rsidRDefault="00D75A97" w:rsidP="002C4934">
      <w:pPr>
        <w:spacing w:line="560" w:lineRule="exact"/>
        <w:ind w:firstLine="641"/>
        <w:rPr>
          <w:rFonts w:ascii="仿宋_GB2312" w:eastAsia="仿宋_GB2312" w:hint="eastAsia"/>
          <w:sz w:val="32"/>
          <w:szCs w:val="32"/>
        </w:rPr>
      </w:pPr>
      <w:r>
        <w:rPr>
          <w:rFonts w:ascii="楷体_GB2312" w:eastAsia="楷体_GB2312" w:hint="eastAsia"/>
          <w:b/>
          <w:bCs/>
          <w:sz w:val="32"/>
          <w:szCs w:val="32"/>
        </w:rPr>
        <w:t>第六部分：强化组织保障。</w:t>
      </w:r>
      <w:r>
        <w:rPr>
          <w:rFonts w:ascii="仿宋_GB2312" w:eastAsia="仿宋_GB2312" w:hint="eastAsia"/>
          <w:sz w:val="32"/>
          <w:szCs w:val="32"/>
        </w:rPr>
        <w:t>加强组织领导、投入保障和服务引导。</w:t>
      </w:r>
    </w:p>
    <w:sectPr w:rsidR="007A5966" w:rsidSect="006B245F">
      <w:footerReference w:type="even" r:id="rId6"/>
      <w:footerReference w:type="default" r:id="rId7"/>
      <w:pgSz w:w="11906" w:h="16838"/>
      <w:pgMar w:top="2098" w:right="1588" w:bottom="2098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3AE38" w14:textId="77777777" w:rsidR="00D75A97" w:rsidRDefault="00D75A97" w:rsidP="006B245F">
      <w:r>
        <w:separator/>
      </w:r>
    </w:p>
  </w:endnote>
  <w:endnote w:type="continuationSeparator" w:id="0">
    <w:p w14:paraId="7B0572D5" w14:textId="77777777" w:rsidR="00D75A97" w:rsidRDefault="00D75A97" w:rsidP="006B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409188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8"/>
        <w:szCs w:val="28"/>
      </w:rPr>
    </w:sdtEndPr>
    <w:sdtContent>
      <w:p w14:paraId="2D302D78" w14:textId="26D03773" w:rsidR="006B245F" w:rsidRPr="006B245F" w:rsidRDefault="006B245F">
        <w:pPr>
          <w:pStyle w:val="a5"/>
          <w:rPr>
            <w:rFonts w:ascii="宋体" w:eastAsia="宋体" w:hAnsi="宋体"/>
            <w:sz w:val="28"/>
            <w:szCs w:val="28"/>
          </w:rPr>
        </w:pPr>
        <w:r w:rsidRPr="006B245F">
          <w:rPr>
            <w:rFonts w:ascii="宋体" w:eastAsia="宋体" w:hAnsi="宋体"/>
            <w:sz w:val="28"/>
            <w:szCs w:val="28"/>
          </w:rPr>
          <w:fldChar w:fldCharType="begin"/>
        </w:r>
        <w:r w:rsidRPr="006B245F">
          <w:rPr>
            <w:rFonts w:ascii="宋体" w:eastAsia="宋体" w:hAnsi="宋体"/>
            <w:sz w:val="28"/>
            <w:szCs w:val="28"/>
          </w:rPr>
          <w:instrText>PAGE   \* MERGEFORMAT</w:instrText>
        </w:r>
        <w:r w:rsidRPr="006B245F">
          <w:rPr>
            <w:rFonts w:ascii="宋体" w:eastAsia="宋体" w:hAnsi="宋体"/>
            <w:sz w:val="28"/>
            <w:szCs w:val="28"/>
          </w:rPr>
          <w:fldChar w:fldCharType="separate"/>
        </w:r>
        <w:r w:rsidR="00FC623A" w:rsidRPr="00FC623A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FC623A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 w:rsidRPr="006B245F"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  <w:p w14:paraId="48684E19" w14:textId="77777777" w:rsidR="006B245F" w:rsidRDefault="006B24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5167647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8"/>
        <w:szCs w:val="28"/>
      </w:rPr>
    </w:sdtEndPr>
    <w:sdtContent>
      <w:p w14:paraId="29D88278" w14:textId="3A290406" w:rsidR="006B245F" w:rsidRPr="006B245F" w:rsidRDefault="006B245F">
        <w:pPr>
          <w:pStyle w:val="a5"/>
          <w:jc w:val="right"/>
          <w:rPr>
            <w:rFonts w:ascii="宋体" w:eastAsia="宋体" w:hAnsi="宋体"/>
            <w:sz w:val="28"/>
            <w:szCs w:val="28"/>
          </w:rPr>
        </w:pPr>
        <w:r w:rsidRPr="006B245F">
          <w:rPr>
            <w:rFonts w:ascii="宋体" w:eastAsia="宋体" w:hAnsi="宋体"/>
            <w:sz w:val="28"/>
            <w:szCs w:val="28"/>
          </w:rPr>
          <w:fldChar w:fldCharType="begin"/>
        </w:r>
        <w:r w:rsidRPr="006B245F">
          <w:rPr>
            <w:rFonts w:ascii="宋体" w:eastAsia="宋体" w:hAnsi="宋体"/>
            <w:sz w:val="28"/>
            <w:szCs w:val="28"/>
          </w:rPr>
          <w:instrText>PAGE   \* MERGEFORMAT</w:instrText>
        </w:r>
        <w:r w:rsidRPr="006B245F">
          <w:rPr>
            <w:rFonts w:ascii="宋体" w:eastAsia="宋体" w:hAnsi="宋体"/>
            <w:sz w:val="28"/>
            <w:szCs w:val="28"/>
          </w:rPr>
          <w:fldChar w:fldCharType="separate"/>
        </w:r>
        <w:r w:rsidR="00FC623A" w:rsidRPr="00FC623A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FC623A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 w:rsidRPr="006B245F"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  <w:p w14:paraId="619BC1D3" w14:textId="77777777" w:rsidR="006B245F" w:rsidRDefault="006B24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CBC35" w14:textId="77777777" w:rsidR="00D75A97" w:rsidRDefault="00D75A97" w:rsidP="006B245F">
      <w:r>
        <w:separator/>
      </w:r>
    </w:p>
  </w:footnote>
  <w:footnote w:type="continuationSeparator" w:id="0">
    <w:p w14:paraId="73CDC335" w14:textId="77777777" w:rsidR="00D75A97" w:rsidRDefault="00D75A97" w:rsidP="006B24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QzZjA0ZjU0NzQ5MGNmNGU0ZjU4NzhiZjQ3MDc2NjEifQ=="/>
  </w:docVars>
  <w:rsids>
    <w:rsidRoot w:val="003F689A"/>
    <w:rsid w:val="00041CB3"/>
    <w:rsid w:val="000D6239"/>
    <w:rsid w:val="002C4934"/>
    <w:rsid w:val="002E6394"/>
    <w:rsid w:val="0031683C"/>
    <w:rsid w:val="003F689A"/>
    <w:rsid w:val="004970CC"/>
    <w:rsid w:val="004A4661"/>
    <w:rsid w:val="004E4887"/>
    <w:rsid w:val="005C04DA"/>
    <w:rsid w:val="00622BD1"/>
    <w:rsid w:val="006B245F"/>
    <w:rsid w:val="006C690B"/>
    <w:rsid w:val="007676C7"/>
    <w:rsid w:val="007A5966"/>
    <w:rsid w:val="00810986"/>
    <w:rsid w:val="00897DD0"/>
    <w:rsid w:val="008F7B5C"/>
    <w:rsid w:val="00941C1C"/>
    <w:rsid w:val="00AE14A0"/>
    <w:rsid w:val="00B95C15"/>
    <w:rsid w:val="00BE2B22"/>
    <w:rsid w:val="00C42384"/>
    <w:rsid w:val="00C54EDD"/>
    <w:rsid w:val="00CF5D3F"/>
    <w:rsid w:val="00D75A97"/>
    <w:rsid w:val="00EB0C65"/>
    <w:rsid w:val="00F458BD"/>
    <w:rsid w:val="00FC623A"/>
    <w:rsid w:val="0837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6F7C6"/>
  <w15:docId w15:val="{57E21608-55B5-4F35-80AF-BDF2F243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6B2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B245F"/>
    <w:rPr>
      <w:rFonts w:ascii="等线" w:eastAsia="等线" w:hAnsi="等线" w:cs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B24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B245F"/>
    <w:rPr>
      <w:rFonts w:ascii="等线" w:eastAsia="等线" w:hAnsi="等线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tujs song</dc:creator>
  <cp:lastModifiedBy>翟珺</cp:lastModifiedBy>
  <cp:revision>7</cp:revision>
  <cp:lastPrinted>2022-08-05T01:43:00Z</cp:lastPrinted>
  <dcterms:created xsi:type="dcterms:W3CDTF">2022-08-05T01:30:00Z</dcterms:created>
  <dcterms:modified xsi:type="dcterms:W3CDTF">2022-12-12T08:34:00Z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25AF0754C08244518C3A64EA059B42E3</vt:lpwstr>
  </property>
</Properties>
</file>