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80FE34">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sz w:val="44"/>
          <w:szCs w:val="44"/>
          <w:lang w:val="en-US"/>
        </w:rPr>
      </w:pP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rPr>
        <w:t>关于</w:t>
      </w:r>
      <w:r>
        <w:rPr>
          <w:rFonts w:hint="eastAsia" w:ascii="方正小标宋简体" w:hAnsi="方正小标宋简体" w:eastAsia="方正小标宋简体" w:cs="方正小标宋简体"/>
          <w:sz w:val="44"/>
          <w:szCs w:val="44"/>
          <w:lang w:val="en-US" w:eastAsia="zh-CN"/>
        </w:rPr>
        <w:t>进一步落实农房建设</w:t>
      </w:r>
      <w:r>
        <w:rPr>
          <w:rFonts w:hint="eastAsia" w:ascii="方正小标宋简体" w:hAnsi="方正小标宋简体" w:eastAsia="方正小标宋简体" w:cs="方正小标宋简体"/>
          <w:sz w:val="44"/>
          <w:szCs w:val="44"/>
        </w:rPr>
        <w:t>管理</w:t>
      </w:r>
      <w:r>
        <w:rPr>
          <w:rFonts w:hint="eastAsia" w:ascii="方正小标宋简体" w:hAnsi="方正小标宋简体" w:eastAsia="方正小标宋简体" w:cs="方正小标宋简体"/>
          <w:sz w:val="44"/>
          <w:szCs w:val="44"/>
          <w:lang w:eastAsia="zh-CN"/>
        </w:rPr>
        <w:t>工作责任</w:t>
      </w:r>
      <w:r>
        <w:rPr>
          <w:rFonts w:hint="eastAsia" w:ascii="方正小标宋简体" w:hAnsi="方正小标宋简体" w:eastAsia="方正小标宋简体" w:cs="方正小标宋简体"/>
          <w:sz w:val="44"/>
          <w:szCs w:val="44"/>
        </w:rPr>
        <w:t>的通知</w:t>
      </w:r>
      <w:r>
        <w:rPr>
          <w:rFonts w:hint="eastAsia" w:ascii="方正小标宋简体" w:hAnsi="方正小标宋简体" w:eastAsia="方正小标宋简体" w:cs="方正小标宋简体"/>
          <w:sz w:val="44"/>
          <w:szCs w:val="44"/>
          <w:lang w:val="en-US" w:eastAsia="zh-CN"/>
        </w:rPr>
        <w:t>(征求意见稿)</w:t>
      </w:r>
      <w:r>
        <w:rPr>
          <w:rFonts w:hint="eastAsia" w:ascii="方正小标宋简体" w:hAnsi="方正小标宋简体" w:eastAsia="方正小标宋简体" w:cs="方正小标宋简体"/>
          <w:sz w:val="44"/>
          <w:szCs w:val="44"/>
          <w:lang w:eastAsia="zh-CN"/>
        </w:rPr>
        <w:t>》的</w:t>
      </w:r>
      <w:r>
        <w:rPr>
          <w:rFonts w:hint="eastAsia" w:ascii="方正小标宋简体" w:hAnsi="方正小标宋简体" w:eastAsia="方正小标宋简体" w:cs="方正小标宋简体"/>
          <w:sz w:val="44"/>
          <w:szCs w:val="44"/>
          <w:lang w:val="en-US" w:eastAsia="zh-CN"/>
        </w:rPr>
        <w:t>起草说明</w:t>
      </w:r>
    </w:p>
    <w:p w14:paraId="37ABC8BB">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sz w:val="44"/>
          <w:szCs w:val="44"/>
        </w:rPr>
      </w:pPr>
    </w:p>
    <w:p w14:paraId="3E0844C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一、背景依据及起草过程</w:t>
      </w:r>
    </w:p>
    <w:p w14:paraId="1E74BD3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机构改革后，明确了农民建房的主体责任和审批权限是乡镇人民政府。为理顺工作流程，明确工作责任，在上级文件基础之上，2020年10月，我县制定出台了</w:t>
      </w:r>
      <w:r>
        <w:rPr>
          <w:rFonts w:hint="default" w:ascii="Times New Roman" w:hAnsi="Times New Roman" w:eastAsia="仿宋_GB2312" w:cs="Times New Roman"/>
          <w:sz w:val="32"/>
          <w:szCs w:val="32"/>
          <w:lang w:val="en-US" w:eastAsia="zh-CN"/>
        </w:rPr>
        <w:t>《关于进一步加强农村宅基地审批和农房规划建设管理的实施意见的通知》</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石政办〔2020〕11号</w:t>
      </w:r>
      <w:r>
        <w:rPr>
          <w:rFonts w:hint="eastAsia" w:ascii="Times New Roman" w:hAnsi="Times New Roman" w:eastAsia="仿宋_GB2312" w:cs="Times New Roman"/>
          <w:sz w:val="32"/>
          <w:szCs w:val="32"/>
          <w:lang w:val="en-US" w:eastAsia="zh-CN"/>
        </w:rPr>
        <w:t>）。</w:t>
      </w:r>
    </w:p>
    <w:p w14:paraId="5994746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市人大常委会根据全市农房建设特色和要求，2022年3月，批准通过了</w:t>
      </w:r>
      <w:r>
        <w:rPr>
          <w:rFonts w:hint="default" w:ascii="Times New Roman" w:hAnsi="Times New Roman" w:eastAsia="仿宋_GB2312" w:cs="Times New Roman"/>
          <w:sz w:val="32"/>
          <w:szCs w:val="32"/>
          <w:lang w:val="en-US" w:eastAsia="zh-CN"/>
        </w:rPr>
        <w:t>《池州市农村村民住房建设管理条例》</w:t>
      </w:r>
      <w:r>
        <w:rPr>
          <w:rFonts w:hint="eastAsia" w:ascii="Times New Roman" w:hAnsi="Times New Roman" w:eastAsia="仿宋_GB2312" w:cs="Times New Roman"/>
          <w:sz w:val="32"/>
          <w:szCs w:val="32"/>
          <w:lang w:val="en-US" w:eastAsia="zh-CN"/>
        </w:rPr>
        <w:t>，该条例自2022年5月1日执行。</w:t>
      </w:r>
    </w:p>
    <w:p w14:paraId="1DF8B69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2024年8月，县自规局根据县委常委会要求，对国省道沿线农民建房提出了提级审批的要求，并出台了《关于加强国省道沿线农民建房新增用地和规划审批有关事项的通知》（石自然自规</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76</w:t>
      </w:r>
      <w:r>
        <w:rPr>
          <w:rFonts w:hint="default" w:ascii="Times New Roman" w:hAnsi="Times New Roman" w:eastAsia="仿宋_GB2312" w:cs="Times New Roman"/>
          <w:sz w:val="32"/>
          <w:szCs w:val="32"/>
          <w:lang w:val="en-US" w:eastAsia="zh-CN"/>
        </w:rPr>
        <w:t>号</w:t>
      </w:r>
      <w:r>
        <w:rPr>
          <w:rFonts w:hint="eastAsia" w:ascii="Times New Roman" w:hAnsi="Times New Roman" w:eastAsia="仿宋_GB2312" w:cs="Times New Roman"/>
          <w:sz w:val="32"/>
          <w:szCs w:val="32"/>
          <w:lang w:val="en-US" w:eastAsia="zh-CN"/>
        </w:rPr>
        <w:t>），要求国省道沿线建房需先由县交通、县自然资源规划、县农业农村等部门审核，经县政府分管领导审批后，方可开工建设。</w:t>
      </w:r>
    </w:p>
    <w:p w14:paraId="56E254C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农民建房一直是群众关心的热点难点问题，由于历史和政策原因，近年来各部门之间职责不清，一直疏于管理。随着我县旅游业兴起，民宿产业迅速发展，农民建房需求越来越强烈，选址、规模、风貌等矛盾也愈发突出。虽然上级和我县关于农民建房出台诸多文件，但在执行过程中出现了标准不一（如：仙寓镇因大山村整治等原因，建房规模控制在480平方米，其他乡镇控制在300平方米）、政策落空（如：国省道两侧建房，最大避让达不到规定要求）、临时搭建彩钢瓦等问题，这些问题在国省道两侧、景区周边尤为突出。</w:t>
      </w:r>
    </w:p>
    <w:p w14:paraId="737FF14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出现上述问题，根本原因是各级之间、部门之间职责不明确、责任未压实，为此拟定了《关于进一步落实农房建设管理工作责任的通知</w:t>
      </w:r>
      <w:r>
        <w:rPr>
          <w:rFonts w:hint="default" w:ascii="Times New Roman" w:hAnsi="Times New Roman" w:eastAsia="仿宋_GB2312" w:cs="Times New Roman"/>
          <w:color w:val="000000"/>
          <w:sz w:val="32"/>
          <w:szCs w:val="32"/>
          <w:lang w:val="en-US" w:eastAsia="zh-CN"/>
        </w:rPr>
        <w:t>（征求意见稿</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征求</w:t>
      </w:r>
      <w:r>
        <w:rPr>
          <w:rFonts w:hint="eastAsia" w:ascii="Times New Roman" w:hAnsi="Times New Roman" w:eastAsia="仿宋_GB2312" w:cs="Times New Roman"/>
          <w:sz w:val="32"/>
          <w:szCs w:val="32"/>
          <w:lang w:val="en-US" w:eastAsia="zh-CN"/>
        </w:rPr>
        <w:t>了</w:t>
      </w:r>
      <w:r>
        <w:rPr>
          <w:rFonts w:hint="default" w:ascii="Times New Roman" w:hAnsi="Times New Roman" w:eastAsia="仿宋_GB2312" w:cs="Times New Roman"/>
          <w:sz w:val="32"/>
          <w:szCs w:val="32"/>
          <w:lang w:val="en-US" w:eastAsia="zh-CN"/>
        </w:rPr>
        <w:t>各乡镇、县</w:t>
      </w:r>
      <w:r>
        <w:rPr>
          <w:rFonts w:hint="eastAsia" w:ascii="Times New Roman" w:hAnsi="Times New Roman" w:eastAsia="仿宋_GB2312" w:cs="Times New Roman"/>
          <w:sz w:val="32"/>
          <w:szCs w:val="32"/>
          <w:lang w:val="en-US" w:eastAsia="zh-CN"/>
        </w:rPr>
        <w:t>自然资源规划</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住建、交通</w:t>
      </w:r>
      <w:r>
        <w:rPr>
          <w:rFonts w:hint="default" w:ascii="Times New Roman" w:hAnsi="Times New Roman" w:eastAsia="仿宋_GB2312" w:cs="Times New Roman"/>
          <w:sz w:val="32"/>
          <w:szCs w:val="32"/>
          <w:lang w:val="en-US" w:eastAsia="zh-CN"/>
        </w:rPr>
        <w:t>等部门意见</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共收到各单位意见建议</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条</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采纳建议意见并修改条款</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条。</w:t>
      </w:r>
    </w:p>
    <w:p w14:paraId="375B4056">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主要内容</w:t>
      </w:r>
      <w:bookmarkStart w:id="0" w:name="_GoBack"/>
      <w:bookmarkEnd w:id="0"/>
    </w:p>
    <w:p w14:paraId="4964C3E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《关于进一步落实农房建设管理工作责任的通知》共三个方面。</w:t>
      </w:r>
    </w:p>
    <w:p w14:paraId="60A17D0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楷体_GB2312" w:hAnsi="楷体_GB2312" w:eastAsia="楷体_GB2312" w:cs="楷体_GB2312"/>
          <w:b/>
          <w:bCs/>
          <w:sz w:val="32"/>
          <w:szCs w:val="32"/>
          <w:lang w:val="en-US" w:eastAsia="zh-CN"/>
        </w:rPr>
        <w:t>（一）健全农房建设审批机制。</w:t>
      </w:r>
      <w:r>
        <w:rPr>
          <w:rFonts w:hint="eastAsia" w:ascii="Times New Roman" w:hAnsi="Times New Roman" w:eastAsia="仿宋_GB2312" w:cs="Times New Roman"/>
          <w:b/>
          <w:bCs/>
          <w:sz w:val="32"/>
          <w:szCs w:val="32"/>
          <w:lang w:val="en-US" w:eastAsia="zh-CN"/>
        </w:rPr>
        <w:t>一是集体研究原则。</w:t>
      </w:r>
      <w:r>
        <w:rPr>
          <w:rFonts w:hint="eastAsia" w:ascii="Times New Roman" w:hAnsi="Times New Roman" w:eastAsia="仿宋_GB2312" w:cs="Times New Roman"/>
          <w:sz w:val="32"/>
          <w:szCs w:val="32"/>
          <w:lang w:val="en-US" w:eastAsia="zh-CN"/>
        </w:rPr>
        <w:t>农民建房</w:t>
      </w:r>
      <w:r>
        <w:rPr>
          <w:rFonts w:hint="default" w:ascii="Times New Roman" w:hAnsi="Times New Roman" w:eastAsia="仿宋_GB2312" w:cs="Times New Roman"/>
          <w:sz w:val="32"/>
          <w:szCs w:val="32"/>
          <w:lang w:val="en-US" w:eastAsia="zh-CN"/>
        </w:rPr>
        <w:t>应提交乡镇</w:t>
      </w:r>
      <w:r>
        <w:rPr>
          <w:rFonts w:hint="eastAsia" w:ascii="Times New Roman" w:hAnsi="Times New Roman" w:eastAsia="仿宋_GB2312" w:cs="Times New Roman"/>
          <w:sz w:val="32"/>
          <w:szCs w:val="32"/>
          <w:lang w:val="en-US" w:eastAsia="zh-CN"/>
        </w:rPr>
        <w:t>领导</w:t>
      </w:r>
      <w:r>
        <w:rPr>
          <w:rFonts w:hint="default" w:ascii="Times New Roman" w:hAnsi="Times New Roman" w:eastAsia="仿宋_GB2312" w:cs="Times New Roman"/>
          <w:sz w:val="32"/>
          <w:szCs w:val="32"/>
          <w:lang w:val="en-US" w:eastAsia="zh-CN"/>
        </w:rPr>
        <w:t>班子会议集体研究</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一致通过后</w:t>
      </w:r>
      <w:r>
        <w:rPr>
          <w:rFonts w:hint="eastAsia" w:ascii="Times New Roman" w:hAnsi="Times New Roman" w:eastAsia="仿宋_GB2312" w:cs="Times New Roman"/>
          <w:sz w:val="32"/>
          <w:szCs w:val="32"/>
          <w:lang w:val="en-US" w:eastAsia="zh-CN"/>
        </w:rPr>
        <w:t>，由乡镇政府主要负责同志</w:t>
      </w:r>
      <w:r>
        <w:rPr>
          <w:rFonts w:hint="default" w:ascii="Times New Roman" w:hAnsi="Times New Roman" w:eastAsia="仿宋_GB2312" w:cs="Times New Roman"/>
          <w:sz w:val="32"/>
          <w:szCs w:val="32"/>
          <w:lang w:val="en-US" w:eastAsia="zh-CN"/>
        </w:rPr>
        <w:t>批准。</w:t>
      </w:r>
      <w:r>
        <w:rPr>
          <w:rFonts w:hint="eastAsia" w:ascii="Times New Roman" w:hAnsi="Times New Roman" w:eastAsia="仿宋_GB2312" w:cs="Times New Roman"/>
          <w:b/>
          <w:bCs/>
          <w:sz w:val="32"/>
          <w:szCs w:val="32"/>
          <w:lang w:val="en-US" w:eastAsia="zh-CN"/>
        </w:rPr>
        <w:t>二是提级审查原则。</w:t>
      </w:r>
      <w:r>
        <w:rPr>
          <w:rFonts w:hint="default" w:ascii="Times New Roman" w:hAnsi="Times New Roman" w:eastAsia="仿宋_GB2312" w:cs="Times New Roman"/>
          <w:sz w:val="32"/>
          <w:szCs w:val="32"/>
          <w:lang w:val="en-US" w:eastAsia="zh-CN"/>
        </w:rPr>
        <w:t>对涉及在我县境内</w:t>
      </w:r>
      <w:r>
        <w:rPr>
          <w:rFonts w:hint="eastAsia" w:ascii="Times New Roman" w:hAnsi="Times New Roman" w:eastAsia="仿宋_GB2312" w:cs="Times New Roman"/>
          <w:sz w:val="32"/>
          <w:szCs w:val="32"/>
          <w:lang w:val="en-US" w:eastAsia="zh-CN"/>
        </w:rPr>
        <w:t>国省公路两侧、</w:t>
      </w:r>
      <w:r>
        <w:rPr>
          <w:rFonts w:hint="default" w:ascii="Times New Roman" w:hAnsi="Times New Roman" w:eastAsia="仿宋_GB2312" w:cs="Times New Roman"/>
          <w:sz w:val="32"/>
          <w:szCs w:val="32"/>
          <w:lang w:val="en-US" w:eastAsia="zh-CN"/>
        </w:rPr>
        <w:t>重点景区内及周边行政村的</w:t>
      </w:r>
      <w:r>
        <w:rPr>
          <w:rFonts w:hint="eastAsia" w:ascii="Times New Roman" w:hAnsi="Times New Roman" w:eastAsia="仿宋_GB2312" w:cs="Times New Roman"/>
          <w:sz w:val="32"/>
          <w:szCs w:val="32"/>
          <w:lang w:val="en-US" w:eastAsia="zh-CN"/>
        </w:rPr>
        <w:t>农房建设</w:t>
      </w:r>
      <w:r>
        <w:rPr>
          <w:rFonts w:hint="default" w:ascii="Times New Roman" w:hAnsi="Times New Roman" w:eastAsia="仿宋_GB2312" w:cs="Times New Roman"/>
          <w:sz w:val="32"/>
          <w:szCs w:val="32"/>
          <w:lang w:val="en-US" w:eastAsia="zh-CN"/>
        </w:rPr>
        <w:t>申请事项，</w:t>
      </w:r>
      <w:r>
        <w:rPr>
          <w:rFonts w:hint="eastAsia" w:ascii="Times New Roman" w:hAnsi="Times New Roman" w:eastAsia="仿宋_GB2312" w:cs="Times New Roman"/>
          <w:sz w:val="32"/>
          <w:szCs w:val="32"/>
          <w:lang w:val="en-US" w:eastAsia="zh-CN"/>
        </w:rPr>
        <w:t>提交县自然资源和规划委员会常务副主任会议审查。</w:t>
      </w:r>
      <w:r>
        <w:rPr>
          <w:rFonts w:hint="eastAsia" w:ascii="Times New Roman" w:hAnsi="Times New Roman" w:eastAsia="仿宋_GB2312" w:cs="Times New Roman"/>
          <w:b/>
          <w:bCs/>
          <w:sz w:val="32"/>
          <w:szCs w:val="32"/>
          <w:lang w:val="en-US" w:eastAsia="zh-CN"/>
        </w:rPr>
        <w:t>三是面积和风貌管控原则。</w:t>
      </w:r>
      <w:r>
        <w:rPr>
          <w:rFonts w:hint="eastAsia" w:ascii="Times New Roman" w:hAnsi="Times New Roman" w:eastAsia="仿宋_GB2312" w:cs="Times New Roman"/>
          <w:sz w:val="32"/>
          <w:szCs w:val="32"/>
          <w:lang w:val="en-US" w:eastAsia="zh-CN"/>
        </w:rPr>
        <w:t>对提级审查区域，可采用坡屋顶、人字山墙、披檐等构造，墙体可采用灰、白色调，屋顶可采用灰色调。未经批准，不得搭建彩钢瓦等临时建筑。农房宅基地面积原则上不超过160平方米，建筑面积原则上不超过300平方米。</w:t>
      </w:r>
    </w:p>
    <w:p w14:paraId="1EDA8CD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楷体_GB2312" w:hAnsi="楷体_GB2312" w:eastAsia="楷体_GB2312" w:cs="楷体_GB2312"/>
          <w:b/>
          <w:bCs/>
          <w:sz w:val="32"/>
          <w:szCs w:val="32"/>
          <w:lang w:val="en-US" w:eastAsia="zh-CN"/>
        </w:rPr>
        <w:t>（二）加强农房建设全过程监管。</w:t>
      </w:r>
      <w:r>
        <w:rPr>
          <w:rFonts w:hint="eastAsia" w:ascii="Times New Roman" w:hAnsi="Times New Roman" w:eastAsia="仿宋_GB2312" w:cs="Times New Roman"/>
          <w:sz w:val="32"/>
          <w:szCs w:val="32"/>
          <w:lang w:val="en-US" w:eastAsia="zh-CN"/>
        </w:rPr>
        <w:t>各</w:t>
      </w:r>
      <w:r>
        <w:rPr>
          <w:rFonts w:hint="default" w:ascii="Times New Roman" w:hAnsi="Times New Roman" w:eastAsia="仿宋_GB2312" w:cs="Times New Roman"/>
          <w:sz w:val="32"/>
          <w:szCs w:val="32"/>
          <w:lang w:val="en-US" w:eastAsia="zh-CN"/>
        </w:rPr>
        <w:t>乡镇</w:t>
      </w:r>
      <w:r>
        <w:rPr>
          <w:rFonts w:hint="eastAsia" w:ascii="Times New Roman" w:hAnsi="Times New Roman" w:eastAsia="仿宋_GB2312" w:cs="Times New Roman"/>
          <w:sz w:val="32"/>
          <w:szCs w:val="32"/>
          <w:lang w:val="en-US" w:eastAsia="zh-CN"/>
        </w:rPr>
        <w:t>应成立工作专班，全过程落实“四到场”要求</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b/>
          <w:bCs/>
          <w:sz w:val="32"/>
          <w:szCs w:val="32"/>
          <w:lang w:val="en-US" w:eastAsia="zh-CN"/>
        </w:rPr>
        <w:t>一是申请选址审查到场。</w:t>
      </w:r>
      <w:r>
        <w:rPr>
          <w:rFonts w:hint="default" w:ascii="Times New Roman" w:hAnsi="Times New Roman" w:eastAsia="仿宋_GB2312" w:cs="Times New Roman"/>
          <w:sz w:val="32"/>
          <w:szCs w:val="32"/>
          <w:lang w:val="en-US" w:eastAsia="zh-CN"/>
        </w:rPr>
        <w:t>对宅基地选址是否符合村庄规划、国土空间规划</w:t>
      </w:r>
      <w:r>
        <w:rPr>
          <w:rFonts w:hint="eastAsia" w:ascii="Times New Roman" w:hAnsi="Times New Roman" w:eastAsia="仿宋_GB2312" w:cs="Times New Roman"/>
          <w:sz w:val="32"/>
          <w:szCs w:val="32"/>
          <w:lang w:val="en-US" w:eastAsia="zh-CN"/>
        </w:rPr>
        <w:t>进行审核</w:t>
      </w:r>
      <w:r>
        <w:rPr>
          <w:rFonts w:hint="default" w:ascii="Times New Roman" w:hAnsi="Times New Roman" w:eastAsia="仿宋_GB2312" w:cs="Times New Roman"/>
          <w:sz w:val="32"/>
          <w:szCs w:val="32"/>
          <w:lang w:val="en-US" w:eastAsia="zh-CN"/>
        </w:rPr>
        <w:t>，并对拟建房地块用地性质进行</w:t>
      </w:r>
      <w:r>
        <w:rPr>
          <w:rFonts w:hint="eastAsia" w:ascii="Times New Roman" w:hAnsi="Times New Roman" w:eastAsia="仿宋_GB2312" w:cs="Times New Roman"/>
          <w:sz w:val="32"/>
          <w:szCs w:val="32"/>
          <w:lang w:val="en-US" w:eastAsia="zh-CN"/>
        </w:rPr>
        <w:t>核查</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b/>
          <w:bCs/>
          <w:sz w:val="32"/>
          <w:szCs w:val="32"/>
          <w:lang w:val="en-US" w:eastAsia="zh-CN"/>
        </w:rPr>
        <w:t>二是</w:t>
      </w:r>
      <w:r>
        <w:rPr>
          <w:rFonts w:hint="default" w:ascii="Times New Roman" w:hAnsi="Times New Roman" w:eastAsia="仿宋_GB2312" w:cs="Times New Roman"/>
          <w:b/>
          <w:bCs/>
          <w:sz w:val="32"/>
          <w:szCs w:val="32"/>
          <w:lang w:val="en-US" w:eastAsia="zh-CN"/>
        </w:rPr>
        <w:t>开工</w:t>
      </w:r>
      <w:r>
        <w:rPr>
          <w:rFonts w:hint="eastAsia" w:ascii="Times New Roman" w:hAnsi="Times New Roman" w:eastAsia="仿宋_GB2312" w:cs="Times New Roman"/>
          <w:b/>
          <w:bCs/>
          <w:sz w:val="32"/>
          <w:szCs w:val="32"/>
          <w:lang w:val="en-US" w:eastAsia="zh-CN"/>
        </w:rPr>
        <w:t>放线开挖</w:t>
      </w:r>
      <w:r>
        <w:rPr>
          <w:rFonts w:hint="default" w:ascii="Times New Roman" w:hAnsi="Times New Roman" w:eastAsia="仿宋_GB2312" w:cs="Times New Roman"/>
          <w:b/>
          <w:bCs/>
          <w:sz w:val="32"/>
          <w:szCs w:val="32"/>
          <w:lang w:val="en-US" w:eastAsia="zh-CN"/>
        </w:rPr>
        <w:t>到场。</w:t>
      </w:r>
      <w:r>
        <w:rPr>
          <w:rFonts w:hint="eastAsia" w:ascii="Times New Roman" w:hAnsi="Times New Roman" w:eastAsia="仿宋_GB2312" w:cs="Times New Roman"/>
          <w:sz w:val="32"/>
          <w:szCs w:val="32"/>
          <w:lang w:val="en-US" w:eastAsia="zh-CN"/>
        </w:rPr>
        <w:t>专班工作人员要</w:t>
      </w:r>
      <w:r>
        <w:rPr>
          <w:rFonts w:hint="default" w:ascii="Times New Roman" w:hAnsi="Times New Roman" w:eastAsia="仿宋_GB2312" w:cs="Times New Roman"/>
          <w:sz w:val="32"/>
          <w:szCs w:val="32"/>
          <w:lang w:val="en-US" w:eastAsia="zh-CN"/>
        </w:rPr>
        <w:t>到实地丈量批放宅基地</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确定建房位置，</w:t>
      </w:r>
      <w:r>
        <w:rPr>
          <w:rFonts w:hint="eastAsia" w:ascii="Times New Roman" w:hAnsi="Times New Roman" w:eastAsia="仿宋_GB2312" w:cs="Times New Roman"/>
          <w:sz w:val="32"/>
          <w:szCs w:val="32"/>
          <w:lang w:val="en-US" w:eastAsia="zh-CN"/>
        </w:rPr>
        <w:t>严控宅基地面积、严格点位要求。关键是基槽开挖好后，专班工作人员要到现场进行验收。</w:t>
      </w:r>
      <w:r>
        <w:rPr>
          <w:rFonts w:hint="eastAsia" w:ascii="Times New Roman" w:hAnsi="Times New Roman" w:eastAsia="仿宋_GB2312" w:cs="Times New Roman"/>
          <w:b/>
          <w:bCs/>
          <w:sz w:val="32"/>
          <w:szCs w:val="32"/>
          <w:lang w:val="en-US" w:eastAsia="zh-CN"/>
        </w:rPr>
        <w:t>三是过程监管检查</w:t>
      </w:r>
      <w:r>
        <w:rPr>
          <w:rFonts w:hint="default" w:ascii="Times New Roman" w:hAnsi="Times New Roman" w:eastAsia="仿宋_GB2312" w:cs="Times New Roman"/>
          <w:b/>
          <w:bCs/>
          <w:sz w:val="32"/>
          <w:szCs w:val="32"/>
          <w:lang w:val="en-US" w:eastAsia="zh-CN"/>
        </w:rPr>
        <w:t>到场。</w:t>
      </w:r>
      <w:r>
        <w:rPr>
          <w:rFonts w:hint="default" w:ascii="Times New Roman" w:hAnsi="Times New Roman" w:eastAsia="仿宋_GB2312" w:cs="Times New Roman"/>
          <w:sz w:val="32"/>
          <w:szCs w:val="32"/>
          <w:lang w:val="en-US" w:eastAsia="zh-CN"/>
        </w:rPr>
        <w:t>重点检查是否按照</w:t>
      </w:r>
      <w:r>
        <w:rPr>
          <w:rFonts w:hint="eastAsia" w:ascii="Times New Roman" w:hAnsi="Times New Roman" w:eastAsia="仿宋_GB2312" w:cs="Times New Roman"/>
          <w:sz w:val="32"/>
          <w:szCs w:val="32"/>
          <w:lang w:val="en-US" w:eastAsia="zh-CN"/>
        </w:rPr>
        <w:t>建筑风格、</w:t>
      </w:r>
      <w:r>
        <w:rPr>
          <w:rFonts w:hint="default" w:ascii="Times New Roman" w:hAnsi="Times New Roman" w:eastAsia="仿宋_GB2312" w:cs="Times New Roman"/>
          <w:sz w:val="32"/>
          <w:szCs w:val="32"/>
          <w:lang w:val="en-US" w:eastAsia="zh-CN"/>
        </w:rPr>
        <w:t>规划要求建设住房，</w:t>
      </w:r>
      <w:r>
        <w:rPr>
          <w:rFonts w:hint="eastAsia" w:ascii="Times New Roman" w:hAnsi="Times New Roman" w:eastAsia="仿宋_GB2312" w:cs="Times New Roman"/>
          <w:sz w:val="32"/>
          <w:szCs w:val="32"/>
          <w:lang w:val="en-US" w:eastAsia="zh-CN"/>
        </w:rPr>
        <w:t>特别是基础砌筑或浇筑、楼层封顶、硬化院落和修建围墙等建房关键环节应做到巡查到场。</w:t>
      </w:r>
      <w:r>
        <w:rPr>
          <w:rFonts w:hint="eastAsia" w:ascii="Times New Roman" w:hAnsi="Times New Roman" w:eastAsia="仿宋_GB2312" w:cs="Times New Roman"/>
          <w:b/>
          <w:bCs/>
          <w:sz w:val="32"/>
          <w:szCs w:val="32"/>
          <w:lang w:val="en-US" w:eastAsia="zh-CN"/>
        </w:rPr>
        <w:t>四是综合</w:t>
      </w:r>
      <w:r>
        <w:rPr>
          <w:rFonts w:hint="default" w:ascii="Times New Roman" w:hAnsi="Times New Roman" w:eastAsia="仿宋_GB2312" w:cs="Times New Roman"/>
          <w:b/>
          <w:bCs/>
          <w:sz w:val="32"/>
          <w:szCs w:val="32"/>
          <w:lang w:val="en-US" w:eastAsia="zh-CN"/>
        </w:rPr>
        <w:t>验收</w:t>
      </w:r>
      <w:r>
        <w:rPr>
          <w:rFonts w:hint="eastAsia" w:ascii="Times New Roman" w:hAnsi="Times New Roman" w:eastAsia="仿宋_GB2312" w:cs="Times New Roman"/>
          <w:b/>
          <w:bCs/>
          <w:sz w:val="32"/>
          <w:szCs w:val="32"/>
          <w:lang w:val="en-US" w:eastAsia="zh-CN"/>
        </w:rPr>
        <w:t>拆旧</w:t>
      </w:r>
      <w:r>
        <w:rPr>
          <w:rFonts w:hint="default" w:ascii="Times New Roman" w:hAnsi="Times New Roman" w:eastAsia="仿宋_GB2312" w:cs="Times New Roman"/>
          <w:b/>
          <w:bCs/>
          <w:sz w:val="32"/>
          <w:szCs w:val="32"/>
          <w:lang w:val="en-US" w:eastAsia="zh-CN"/>
        </w:rPr>
        <w:t>到场。</w:t>
      </w:r>
      <w:r>
        <w:rPr>
          <w:rFonts w:hint="default" w:ascii="Times New Roman" w:hAnsi="Times New Roman" w:eastAsia="仿宋_GB2312" w:cs="Times New Roman"/>
          <w:sz w:val="32"/>
          <w:szCs w:val="32"/>
          <w:lang w:val="en-US" w:eastAsia="zh-CN"/>
        </w:rPr>
        <w:t>重点对照审批内容进行实地验收，</w:t>
      </w:r>
      <w:r>
        <w:rPr>
          <w:rFonts w:hint="eastAsia" w:ascii="Times New Roman" w:hAnsi="Times New Roman" w:eastAsia="仿宋_GB2312" w:cs="Times New Roman"/>
          <w:sz w:val="32"/>
          <w:szCs w:val="32"/>
          <w:lang w:val="en-US" w:eastAsia="zh-CN"/>
        </w:rPr>
        <w:t>明确附属设施建设要求、旧房拆除期限</w:t>
      </w:r>
      <w:r>
        <w:rPr>
          <w:rFonts w:hint="default" w:ascii="Times New Roman" w:hAnsi="Times New Roman" w:eastAsia="仿宋_GB2312" w:cs="Times New Roman"/>
          <w:sz w:val="32"/>
          <w:szCs w:val="32"/>
          <w:lang w:val="en-US" w:eastAsia="zh-CN"/>
        </w:rPr>
        <w:t>。</w:t>
      </w:r>
    </w:p>
    <w:p w14:paraId="16508AA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eastAsia" w:ascii="楷体_GB2312" w:hAnsi="楷体_GB2312" w:eastAsia="楷体_GB2312" w:cs="楷体_GB2312"/>
          <w:b/>
          <w:bCs/>
          <w:sz w:val="32"/>
          <w:szCs w:val="32"/>
          <w:lang w:val="en-US" w:eastAsia="zh-CN"/>
        </w:rPr>
        <w:t>（三）落实农房建设工作责任。</w:t>
      </w:r>
      <w:r>
        <w:rPr>
          <w:rFonts w:hint="eastAsia" w:ascii="Times New Roman" w:hAnsi="Times New Roman" w:eastAsia="仿宋_GB2312" w:cs="Times New Roman"/>
          <w:b/>
          <w:bCs/>
          <w:sz w:val="32"/>
          <w:szCs w:val="32"/>
          <w:lang w:val="en-US" w:eastAsia="zh-CN"/>
        </w:rPr>
        <w:t>一是村委会。</w:t>
      </w:r>
      <w:r>
        <w:rPr>
          <w:rFonts w:hint="eastAsia" w:ascii="Times New Roman" w:hAnsi="Times New Roman" w:eastAsia="仿宋_GB2312" w:cs="Times New Roman"/>
          <w:sz w:val="32"/>
          <w:szCs w:val="32"/>
          <w:lang w:val="en-US" w:eastAsia="zh-CN"/>
        </w:rPr>
        <w:t>要指定一名村级组织负责人兼任农房建设协管员，负责开展农房建设日常监管，做好</w:t>
      </w:r>
      <w:r>
        <w:rPr>
          <w:rFonts w:hint="default" w:ascii="Times New Roman" w:hAnsi="Times New Roman" w:eastAsia="仿宋_GB2312" w:cs="Times New Roman"/>
          <w:sz w:val="32"/>
          <w:szCs w:val="32"/>
          <w:lang w:val="en-US" w:eastAsia="zh-CN"/>
        </w:rPr>
        <w:t>政策法规宣传</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开展巡查监管</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矛盾纠纷调解</w:t>
      </w:r>
      <w:r>
        <w:rPr>
          <w:rFonts w:hint="eastAsia" w:ascii="Times New Roman" w:hAnsi="Times New Roman" w:eastAsia="仿宋_GB2312" w:cs="Times New Roman"/>
          <w:sz w:val="32"/>
          <w:szCs w:val="32"/>
          <w:lang w:val="en-US" w:eastAsia="zh-CN"/>
        </w:rPr>
        <w:t>，积极发挥“前哨”作用。</w:t>
      </w:r>
      <w:r>
        <w:rPr>
          <w:rFonts w:hint="eastAsia" w:ascii="Times New Roman" w:hAnsi="Times New Roman" w:eastAsia="仿宋_GB2312" w:cs="Times New Roman"/>
          <w:b/>
          <w:bCs/>
          <w:sz w:val="32"/>
          <w:szCs w:val="32"/>
          <w:lang w:val="en-US" w:eastAsia="zh-CN"/>
        </w:rPr>
        <w:t>二是乡镇政府。</w:t>
      </w:r>
      <w:r>
        <w:rPr>
          <w:rFonts w:hint="eastAsia" w:ascii="Times New Roman" w:hAnsi="Times New Roman" w:eastAsia="仿宋_GB2312" w:cs="Times New Roman"/>
          <w:sz w:val="32"/>
          <w:szCs w:val="32"/>
          <w:lang w:val="en-US" w:eastAsia="zh-CN"/>
        </w:rPr>
        <w:t>是农房建设管理的</w:t>
      </w:r>
      <w:r>
        <w:rPr>
          <w:rFonts w:hint="default" w:ascii="Times New Roman" w:hAnsi="Times New Roman" w:eastAsia="仿宋_GB2312" w:cs="Times New Roman"/>
          <w:sz w:val="32"/>
          <w:szCs w:val="32"/>
          <w:lang w:val="en-US" w:eastAsia="zh-CN"/>
        </w:rPr>
        <w:t>责任主体，</w:t>
      </w:r>
      <w:r>
        <w:rPr>
          <w:rFonts w:hint="eastAsia" w:ascii="Times New Roman" w:hAnsi="Times New Roman" w:eastAsia="仿宋_GB2312" w:cs="Times New Roman"/>
          <w:sz w:val="32"/>
          <w:szCs w:val="32"/>
          <w:lang w:val="en-US" w:eastAsia="zh-CN"/>
        </w:rPr>
        <w:t>要统筹做好农民建房涉及新增建设用地的审查和上报工作，严格落实“四到场”要求</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对违法用地的要依法查处，</w:t>
      </w:r>
      <w:r>
        <w:rPr>
          <w:rFonts w:hint="default" w:ascii="Times New Roman" w:hAnsi="Times New Roman" w:eastAsia="仿宋_GB2312" w:cs="Times New Roman"/>
          <w:sz w:val="32"/>
          <w:szCs w:val="32"/>
          <w:lang w:val="en-US" w:eastAsia="zh-CN"/>
        </w:rPr>
        <w:t>建立农房建设挂牌制度，</w:t>
      </w:r>
      <w:r>
        <w:rPr>
          <w:rFonts w:hint="eastAsia" w:ascii="Times New Roman" w:hAnsi="Times New Roman" w:eastAsia="仿宋_GB2312" w:cs="Times New Roman"/>
          <w:sz w:val="32"/>
          <w:szCs w:val="32"/>
          <w:lang w:val="en-US" w:eastAsia="zh-CN"/>
        </w:rPr>
        <w:t>设立举报电话，</w:t>
      </w:r>
      <w:r>
        <w:rPr>
          <w:rFonts w:hint="default" w:ascii="Times New Roman" w:hAnsi="Times New Roman" w:eastAsia="仿宋_GB2312" w:cs="Times New Roman"/>
          <w:sz w:val="32"/>
          <w:szCs w:val="32"/>
          <w:lang w:val="en-US" w:eastAsia="zh-CN"/>
        </w:rPr>
        <w:t>发动社会群众参与监督。</w:t>
      </w:r>
      <w:r>
        <w:rPr>
          <w:rFonts w:hint="eastAsia" w:ascii="Times New Roman" w:hAnsi="Times New Roman" w:eastAsia="仿宋_GB2312" w:cs="Times New Roman"/>
          <w:b/>
          <w:bCs/>
          <w:sz w:val="32"/>
          <w:szCs w:val="32"/>
          <w:lang w:val="en-US" w:eastAsia="zh-CN"/>
        </w:rPr>
        <w:t>三是县职能部门。</w:t>
      </w:r>
      <w:r>
        <w:rPr>
          <w:rFonts w:hint="default" w:ascii="Times New Roman" w:hAnsi="Times New Roman" w:eastAsia="仿宋_GB2312" w:cs="Times New Roman"/>
          <w:sz w:val="32"/>
          <w:szCs w:val="32"/>
          <w:lang w:val="en-US" w:eastAsia="zh-CN"/>
        </w:rPr>
        <w:t>抽调专人组建县</w:t>
      </w:r>
      <w:r>
        <w:rPr>
          <w:rFonts w:hint="eastAsia" w:ascii="Times New Roman" w:hAnsi="Times New Roman" w:eastAsia="仿宋_GB2312" w:cs="Times New Roman"/>
          <w:sz w:val="32"/>
          <w:szCs w:val="32"/>
          <w:lang w:val="en-US" w:eastAsia="zh-CN"/>
        </w:rPr>
        <w:t>农房建设管理工作专班</w:t>
      </w:r>
      <w:r>
        <w:rPr>
          <w:rFonts w:hint="default" w:ascii="Times New Roman" w:hAnsi="Times New Roman" w:eastAsia="仿宋_GB2312" w:cs="Times New Roman"/>
          <w:sz w:val="32"/>
          <w:szCs w:val="32"/>
          <w:lang w:val="en-US" w:eastAsia="zh-CN"/>
        </w:rPr>
        <w:t>，开展不定期巡查</w:t>
      </w:r>
      <w:r>
        <w:rPr>
          <w:rFonts w:hint="eastAsia" w:ascii="Times New Roman" w:hAnsi="Times New Roman" w:eastAsia="仿宋_GB2312" w:cs="Times New Roman"/>
          <w:sz w:val="32"/>
          <w:szCs w:val="32"/>
          <w:lang w:val="en-US" w:eastAsia="zh-CN"/>
        </w:rPr>
        <w:t>，重点对农民建房涉及违法用地、超面积建设等行为进行履职检查。</w:t>
      </w:r>
      <w:r>
        <w:rPr>
          <w:rFonts w:hint="default" w:ascii="Times New Roman" w:hAnsi="Times New Roman" w:eastAsia="仿宋_GB2312" w:cs="Times New Roman"/>
          <w:sz w:val="32"/>
          <w:szCs w:val="32"/>
          <w:lang w:val="en-US" w:eastAsia="zh-CN"/>
        </w:rPr>
        <w:t>对在巡查过程中发现的问题将以督办函的形式交办，并报县政府分管领导。对同类问题再次发生的，将提请县政府分管领导对乡镇分管同志进行约谈。因县职能部门和乡镇政府工作人员“四到场”未到位、巡查责任未落实等方面原因，造成农民建房不符合要求的，一经发现，将向县纪委监委进行问题线索移交，依纪依法严肃追责。</w:t>
      </w:r>
    </w:p>
    <w:p w14:paraId="2663F7D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方正公文楷体" w:hAnsi="方正公文楷体" w:eastAsia="方正公文楷体" w:cs="方正公文楷体"/>
          <w:b w:val="0"/>
          <w:bCs w:val="0"/>
          <w:sz w:val="32"/>
          <w:szCs w:val="32"/>
          <w:lang w:val="en-US" w:eastAsia="zh-CN"/>
        </w:rPr>
      </w:pPr>
      <w:r>
        <w:rPr>
          <w:rFonts w:hint="eastAsia" w:ascii="Times New Roman" w:hAnsi="Times New Roman" w:eastAsia="仿宋_GB2312" w:cs="Times New Roman"/>
          <w:sz w:val="32"/>
          <w:szCs w:val="32"/>
          <w:u w:val="none"/>
          <w:lang w:val="en-US" w:eastAsia="zh-CN"/>
        </w:rPr>
        <w:t>文件还有四个附件：1、石台县</w:t>
      </w:r>
      <w:r>
        <w:rPr>
          <w:rFonts w:hint="default" w:ascii="Times New Roman" w:hAnsi="Times New Roman" w:eastAsia="仿宋_GB2312" w:cs="Times New Roman"/>
          <w:sz w:val="32"/>
          <w:szCs w:val="32"/>
          <w:u w:val="none"/>
          <w:lang w:val="en-US" w:eastAsia="zh-CN"/>
        </w:rPr>
        <w:t>农房建设管理</w:t>
      </w:r>
      <w:r>
        <w:rPr>
          <w:rFonts w:hint="eastAsia" w:ascii="Times New Roman" w:hAnsi="Times New Roman" w:eastAsia="仿宋_GB2312" w:cs="Times New Roman"/>
          <w:sz w:val="32"/>
          <w:szCs w:val="32"/>
          <w:u w:val="none"/>
          <w:lang w:val="en-US" w:eastAsia="zh-CN"/>
        </w:rPr>
        <w:t>工作专班、2、农村宅基地和建房（规划许可）审批表、3、农村宅基地和建房（规划许可）巡查表4、农村宅基地和建房（规划许可）验收意见。</w:t>
      </w:r>
    </w:p>
    <w:p w14:paraId="57BE05B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kern w:val="2"/>
          <w:sz w:val="32"/>
          <w:szCs w:val="32"/>
          <w:lang w:val="en-US" w:eastAsia="zh-CN" w:bidi="ar-SA"/>
        </w:rPr>
        <w:t>三、</w:t>
      </w:r>
      <w:r>
        <w:rPr>
          <w:rFonts w:hint="eastAsia" w:ascii="黑体" w:hAnsi="黑体" w:eastAsia="黑体" w:cs="黑体"/>
          <w:b w:val="0"/>
          <w:bCs w:val="0"/>
          <w:sz w:val="32"/>
          <w:szCs w:val="32"/>
          <w:lang w:val="en-US" w:eastAsia="zh-CN"/>
        </w:rPr>
        <w:t>请示事项</w:t>
      </w:r>
    </w:p>
    <w:p w14:paraId="3E4B9CE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u w:val="none"/>
          <w:lang w:val="en-US" w:eastAsia="zh-CN"/>
        </w:rPr>
      </w:pPr>
      <w:r>
        <w:rPr>
          <w:rFonts w:hint="eastAsia" w:ascii="Times New Roman" w:hAnsi="Times New Roman" w:eastAsia="仿宋_GB2312" w:cs="Times New Roman"/>
          <w:sz w:val="32"/>
          <w:szCs w:val="32"/>
          <w:lang w:val="en-US" w:eastAsia="zh-CN"/>
        </w:rPr>
        <w:t>《关于进一步落实农房建设管理工作责任的通知》提请县政府常务会议审查通过后，以县政府办文件印发。</w:t>
      </w:r>
    </w:p>
    <w:p w14:paraId="35A59C70">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rPr>
          <w:rFonts w:hint="default" w:ascii="Times New Roman" w:hAnsi="Times New Roman" w:eastAsia="仿宋_GB2312" w:cs="Times New Roman"/>
          <w:sz w:val="32"/>
          <w:szCs w:val="32"/>
          <w:lang w:val="en-US" w:eastAsia="zh-CN"/>
        </w:rPr>
      </w:pPr>
    </w:p>
    <w:sectPr>
      <w:footerReference r:id="rId3" w:type="default"/>
      <w:pgSz w:w="11906" w:h="16838"/>
      <w:pgMar w:top="2098" w:right="1587" w:bottom="2098"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公文楷体">
    <w:altName w:val="宋体"/>
    <w:panose1 w:val="02000500000000000000"/>
    <w:charset w:val="86"/>
    <w:family w:val="auto"/>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8EC6">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6AB3F">
                          <w:pPr>
                            <w:pStyle w:val="2"/>
                            <w:rPr>
                              <w:rFonts w:hint="eastAsia" w:asciiTheme="minorEastAsia" w:hAnsiTheme="minorEastAsia" w:eastAsiaTheme="minorEastAsia" w:cstheme="minorEastAsia"/>
                              <w:sz w:val="28"/>
                              <w:szCs w:val="44"/>
                            </w:rPr>
                          </w:pPr>
                          <w:r>
                            <w:rPr>
                              <w:rFonts w:hint="eastAsia" w:asciiTheme="minorEastAsia" w:hAnsiTheme="minorEastAsia" w:eastAsiaTheme="minorEastAsia" w:cstheme="minorEastAsia"/>
                              <w:sz w:val="28"/>
                              <w:szCs w:val="44"/>
                            </w:rPr>
                            <w:t xml:space="preserve">— </w:t>
                          </w:r>
                          <w:r>
                            <w:rPr>
                              <w:rFonts w:hint="eastAsia" w:asciiTheme="minorEastAsia" w:hAnsiTheme="minorEastAsia" w:eastAsiaTheme="minorEastAsia" w:cstheme="minorEastAsia"/>
                              <w:sz w:val="28"/>
                              <w:szCs w:val="44"/>
                            </w:rPr>
                            <w:fldChar w:fldCharType="begin"/>
                          </w:r>
                          <w:r>
                            <w:rPr>
                              <w:rFonts w:hint="eastAsia" w:asciiTheme="minorEastAsia" w:hAnsiTheme="minorEastAsia" w:eastAsiaTheme="minorEastAsia" w:cstheme="minorEastAsia"/>
                              <w:sz w:val="28"/>
                              <w:szCs w:val="44"/>
                            </w:rPr>
                            <w:instrText xml:space="preserve"> PAGE  \* MERGEFORMAT </w:instrText>
                          </w:r>
                          <w:r>
                            <w:rPr>
                              <w:rFonts w:hint="eastAsia" w:asciiTheme="minorEastAsia" w:hAnsiTheme="minorEastAsia" w:eastAsiaTheme="minorEastAsia" w:cstheme="minorEastAsia"/>
                              <w:sz w:val="28"/>
                              <w:szCs w:val="44"/>
                            </w:rPr>
                            <w:fldChar w:fldCharType="separate"/>
                          </w:r>
                          <w:r>
                            <w:rPr>
                              <w:rFonts w:hint="eastAsia" w:asciiTheme="minorEastAsia" w:hAnsiTheme="minorEastAsia" w:eastAsiaTheme="minorEastAsia" w:cstheme="minorEastAsia"/>
                              <w:sz w:val="28"/>
                              <w:szCs w:val="44"/>
                            </w:rPr>
                            <w:t>1</w:t>
                          </w:r>
                          <w:r>
                            <w:rPr>
                              <w:rFonts w:hint="eastAsia" w:asciiTheme="minorEastAsia" w:hAnsiTheme="minorEastAsia" w:eastAsiaTheme="minorEastAsia" w:cstheme="minorEastAsia"/>
                              <w:sz w:val="28"/>
                              <w:szCs w:val="44"/>
                            </w:rPr>
                            <w:fldChar w:fldCharType="end"/>
                          </w:r>
                          <w:r>
                            <w:rPr>
                              <w:rFonts w:hint="eastAsia" w:asciiTheme="minorEastAsia" w:hAnsiTheme="minorEastAsia" w:eastAsiaTheme="minorEastAsia" w:cstheme="minorEastAsia"/>
                              <w:sz w:val="28"/>
                              <w:szCs w:val="4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06AB3F">
                    <w:pPr>
                      <w:pStyle w:val="2"/>
                      <w:rPr>
                        <w:rFonts w:hint="eastAsia" w:asciiTheme="minorEastAsia" w:hAnsiTheme="minorEastAsia" w:eastAsiaTheme="minorEastAsia" w:cstheme="minorEastAsia"/>
                        <w:sz w:val="28"/>
                        <w:szCs w:val="44"/>
                      </w:rPr>
                    </w:pPr>
                    <w:r>
                      <w:rPr>
                        <w:rFonts w:hint="eastAsia" w:asciiTheme="minorEastAsia" w:hAnsiTheme="minorEastAsia" w:eastAsiaTheme="minorEastAsia" w:cstheme="minorEastAsia"/>
                        <w:sz w:val="28"/>
                        <w:szCs w:val="44"/>
                      </w:rPr>
                      <w:t xml:space="preserve">— </w:t>
                    </w:r>
                    <w:r>
                      <w:rPr>
                        <w:rFonts w:hint="eastAsia" w:asciiTheme="minorEastAsia" w:hAnsiTheme="minorEastAsia" w:eastAsiaTheme="minorEastAsia" w:cstheme="minorEastAsia"/>
                        <w:sz w:val="28"/>
                        <w:szCs w:val="44"/>
                      </w:rPr>
                      <w:fldChar w:fldCharType="begin"/>
                    </w:r>
                    <w:r>
                      <w:rPr>
                        <w:rFonts w:hint="eastAsia" w:asciiTheme="minorEastAsia" w:hAnsiTheme="minorEastAsia" w:eastAsiaTheme="minorEastAsia" w:cstheme="minorEastAsia"/>
                        <w:sz w:val="28"/>
                        <w:szCs w:val="44"/>
                      </w:rPr>
                      <w:instrText xml:space="preserve"> PAGE  \* MERGEFORMAT </w:instrText>
                    </w:r>
                    <w:r>
                      <w:rPr>
                        <w:rFonts w:hint="eastAsia" w:asciiTheme="minorEastAsia" w:hAnsiTheme="minorEastAsia" w:eastAsiaTheme="minorEastAsia" w:cstheme="minorEastAsia"/>
                        <w:sz w:val="28"/>
                        <w:szCs w:val="44"/>
                      </w:rPr>
                      <w:fldChar w:fldCharType="separate"/>
                    </w:r>
                    <w:r>
                      <w:rPr>
                        <w:rFonts w:hint="eastAsia" w:asciiTheme="minorEastAsia" w:hAnsiTheme="minorEastAsia" w:eastAsiaTheme="minorEastAsia" w:cstheme="minorEastAsia"/>
                        <w:sz w:val="28"/>
                        <w:szCs w:val="44"/>
                      </w:rPr>
                      <w:t>1</w:t>
                    </w:r>
                    <w:r>
                      <w:rPr>
                        <w:rFonts w:hint="eastAsia" w:asciiTheme="minorEastAsia" w:hAnsiTheme="minorEastAsia" w:eastAsiaTheme="minorEastAsia" w:cstheme="minorEastAsia"/>
                        <w:sz w:val="28"/>
                        <w:szCs w:val="44"/>
                      </w:rPr>
                      <w:fldChar w:fldCharType="end"/>
                    </w:r>
                    <w:r>
                      <w:rPr>
                        <w:rFonts w:hint="eastAsia" w:asciiTheme="minorEastAsia" w:hAnsiTheme="minorEastAsia" w:eastAsiaTheme="minorEastAsia" w:cstheme="minorEastAsia"/>
                        <w:sz w:val="28"/>
                        <w:szCs w:val="4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C76706"/>
    <w:multiLevelType w:val="singleLevel"/>
    <w:tmpl w:val="5BC7670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2MzY2ZGE3ZmMzYTVhMmFiNzViN2EyYjg4Zjc5NjgifQ=="/>
  </w:docVars>
  <w:rsids>
    <w:rsidRoot w:val="00000000"/>
    <w:rsid w:val="00AD6175"/>
    <w:rsid w:val="00C621A8"/>
    <w:rsid w:val="00DF3269"/>
    <w:rsid w:val="012B23C4"/>
    <w:rsid w:val="014A2505"/>
    <w:rsid w:val="0227136C"/>
    <w:rsid w:val="038B1487"/>
    <w:rsid w:val="039C6032"/>
    <w:rsid w:val="03B27071"/>
    <w:rsid w:val="05A131E3"/>
    <w:rsid w:val="05EC445F"/>
    <w:rsid w:val="06A20FC1"/>
    <w:rsid w:val="072D11D3"/>
    <w:rsid w:val="0754675F"/>
    <w:rsid w:val="085B3B1D"/>
    <w:rsid w:val="09D97F35"/>
    <w:rsid w:val="0A0C1573"/>
    <w:rsid w:val="0AA03A6A"/>
    <w:rsid w:val="0AE75B3C"/>
    <w:rsid w:val="0B44317C"/>
    <w:rsid w:val="0BA8395A"/>
    <w:rsid w:val="0C670CE3"/>
    <w:rsid w:val="0D39218C"/>
    <w:rsid w:val="0DB11A74"/>
    <w:rsid w:val="0DBC0BBA"/>
    <w:rsid w:val="0DF507A4"/>
    <w:rsid w:val="0E0367E9"/>
    <w:rsid w:val="0E252C04"/>
    <w:rsid w:val="0E6059EA"/>
    <w:rsid w:val="0EBD2E3C"/>
    <w:rsid w:val="0F2E3D3A"/>
    <w:rsid w:val="0F70143B"/>
    <w:rsid w:val="0F9718DF"/>
    <w:rsid w:val="0FCE3596"/>
    <w:rsid w:val="0FFE72B5"/>
    <w:rsid w:val="1053752C"/>
    <w:rsid w:val="105C0433"/>
    <w:rsid w:val="109231C0"/>
    <w:rsid w:val="10B62239"/>
    <w:rsid w:val="10D83E0F"/>
    <w:rsid w:val="11045CD9"/>
    <w:rsid w:val="11124F95"/>
    <w:rsid w:val="11382C4E"/>
    <w:rsid w:val="11A93B4C"/>
    <w:rsid w:val="12463148"/>
    <w:rsid w:val="126B2BAF"/>
    <w:rsid w:val="13A403DE"/>
    <w:rsid w:val="13C95DDF"/>
    <w:rsid w:val="156009C5"/>
    <w:rsid w:val="15761F97"/>
    <w:rsid w:val="15A4176F"/>
    <w:rsid w:val="16BF796D"/>
    <w:rsid w:val="18356139"/>
    <w:rsid w:val="186500A0"/>
    <w:rsid w:val="192E1226"/>
    <w:rsid w:val="19341F4D"/>
    <w:rsid w:val="195B397D"/>
    <w:rsid w:val="19DE635C"/>
    <w:rsid w:val="1AA06E32"/>
    <w:rsid w:val="1ADF413A"/>
    <w:rsid w:val="1AE6371B"/>
    <w:rsid w:val="1AEE0386"/>
    <w:rsid w:val="1B3B6D7E"/>
    <w:rsid w:val="1C0754EF"/>
    <w:rsid w:val="1C0B748C"/>
    <w:rsid w:val="1C4619FB"/>
    <w:rsid w:val="1CA613B3"/>
    <w:rsid w:val="1D4B7121"/>
    <w:rsid w:val="1D790876"/>
    <w:rsid w:val="1DA06C10"/>
    <w:rsid w:val="1DBA3972"/>
    <w:rsid w:val="1F0B3750"/>
    <w:rsid w:val="1FB57B5F"/>
    <w:rsid w:val="20C61A77"/>
    <w:rsid w:val="20C649A5"/>
    <w:rsid w:val="20CA3197"/>
    <w:rsid w:val="20E57FD0"/>
    <w:rsid w:val="20FF1092"/>
    <w:rsid w:val="216929AF"/>
    <w:rsid w:val="2189031C"/>
    <w:rsid w:val="219F00C9"/>
    <w:rsid w:val="21E408A9"/>
    <w:rsid w:val="24441479"/>
    <w:rsid w:val="24BE74B6"/>
    <w:rsid w:val="24C5371B"/>
    <w:rsid w:val="24E51C8A"/>
    <w:rsid w:val="24F84776"/>
    <w:rsid w:val="24FD0EDB"/>
    <w:rsid w:val="254E4396"/>
    <w:rsid w:val="263C0693"/>
    <w:rsid w:val="27C97106"/>
    <w:rsid w:val="27D36DD5"/>
    <w:rsid w:val="27D913A6"/>
    <w:rsid w:val="27F014E0"/>
    <w:rsid w:val="281A0EA7"/>
    <w:rsid w:val="283546B1"/>
    <w:rsid w:val="28610884"/>
    <w:rsid w:val="28A65859"/>
    <w:rsid w:val="292D5F5B"/>
    <w:rsid w:val="29417CD3"/>
    <w:rsid w:val="29BF5E75"/>
    <w:rsid w:val="29C77674"/>
    <w:rsid w:val="2A682A50"/>
    <w:rsid w:val="2A685EFA"/>
    <w:rsid w:val="2B5D3585"/>
    <w:rsid w:val="2B901439"/>
    <w:rsid w:val="2C210231"/>
    <w:rsid w:val="2C2A71DF"/>
    <w:rsid w:val="2C6E5EC2"/>
    <w:rsid w:val="2C7843EE"/>
    <w:rsid w:val="2DF7460C"/>
    <w:rsid w:val="2DFC2608"/>
    <w:rsid w:val="2E4722CA"/>
    <w:rsid w:val="2E5A1FFE"/>
    <w:rsid w:val="2ECF2A5B"/>
    <w:rsid w:val="2ED0406E"/>
    <w:rsid w:val="2F7230B1"/>
    <w:rsid w:val="30677799"/>
    <w:rsid w:val="312C3125"/>
    <w:rsid w:val="313E5C07"/>
    <w:rsid w:val="315D7B4B"/>
    <w:rsid w:val="31615451"/>
    <w:rsid w:val="31C53C32"/>
    <w:rsid w:val="31F938DC"/>
    <w:rsid w:val="32E7407C"/>
    <w:rsid w:val="3353526D"/>
    <w:rsid w:val="33BB353F"/>
    <w:rsid w:val="33E83C08"/>
    <w:rsid w:val="34572B3B"/>
    <w:rsid w:val="35270760"/>
    <w:rsid w:val="357F234A"/>
    <w:rsid w:val="359E6A64"/>
    <w:rsid w:val="35B05CC8"/>
    <w:rsid w:val="37040D59"/>
    <w:rsid w:val="37650BA9"/>
    <w:rsid w:val="37736E72"/>
    <w:rsid w:val="379A3525"/>
    <w:rsid w:val="37B409D1"/>
    <w:rsid w:val="37F963E3"/>
    <w:rsid w:val="38767A34"/>
    <w:rsid w:val="3886576B"/>
    <w:rsid w:val="38E2331B"/>
    <w:rsid w:val="392C4597"/>
    <w:rsid w:val="39447B32"/>
    <w:rsid w:val="39924D42"/>
    <w:rsid w:val="39B06F76"/>
    <w:rsid w:val="3A1C0AAF"/>
    <w:rsid w:val="3A2E433E"/>
    <w:rsid w:val="3BCC2061"/>
    <w:rsid w:val="3C2F7B31"/>
    <w:rsid w:val="3C947C5C"/>
    <w:rsid w:val="3D6C2A8D"/>
    <w:rsid w:val="3DAB32B2"/>
    <w:rsid w:val="3DCA118B"/>
    <w:rsid w:val="3DE74F30"/>
    <w:rsid w:val="3E173B5E"/>
    <w:rsid w:val="3F3305C2"/>
    <w:rsid w:val="4004001B"/>
    <w:rsid w:val="405038D0"/>
    <w:rsid w:val="408847A8"/>
    <w:rsid w:val="40CC2626"/>
    <w:rsid w:val="40DD4527"/>
    <w:rsid w:val="411F74DC"/>
    <w:rsid w:val="42A653BA"/>
    <w:rsid w:val="435E0298"/>
    <w:rsid w:val="43754D8C"/>
    <w:rsid w:val="43AA2C88"/>
    <w:rsid w:val="445D7CFA"/>
    <w:rsid w:val="446612A5"/>
    <w:rsid w:val="45294080"/>
    <w:rsid w:val="45682DFA"/>
    <w:rsid w:val="464C44CA"/>
    <w:rsid w:val="46DA41D9"/>
    <w:rsid w:val="46DB13AA"/>
    <w:rsid w:val="46E26BDC"/>
    <w:rsid w:val="46E50B4C"/>
    <w:rsid w:val="471F398D"/>
    <w:rsid w:val="484336AB"/>
    <w:rsid w:val="48A44912"/>
    <w:rsid w:val="48A95C04"/>
    <w:rsid w:val="495A6EFE"/>
    <w:rsid w:val="495F2766"/>
    <w:rsid w:val="4A985F30"/>
    <w:rsid w:val="4ACC5BD9"/>
    <w:rsid w:val="4BBD5522"/>
    <w:rsid w:val="4BC0573E"/>
    <w:rsid w:val="4BC617AB"/>
    <w:rsid w:val="4BDE7972"/>
    <w:rsid w:val="4C561BFF"/>
    <w:rsid w:val="4CB43858"/>
    <w:rsid w:val="4CF10BA9"/>
    <w:rsid w:val="4D07114B"/>
    <w:rsid w:val="4D4B7289"/>
    <w:rsid w:val="4DCF7EBB"/>
    <w:rsid w:val="4E1616D4"/>
    <w:rsid w:val="4E564B6A"/>
    <w:rsid w:val="4EA52784"/>
    <w:rsid w:val="4EDB7FFC"/>
    <w:rsid w:val="504F05A5"/>
    <w:rsid w:val="50EB050D"/>
    <w:rsid w:val="51161AC8"/>
    <w:rsid w:val="51932FAD"/>
    <w:rsid w:val="52DE64AA"/>
    <w:rsid w:val="53B357FB"/>
    <w:rsid w:val="555111B5"/>
    <w:rsid w:val="55D10548"/>
    <w:rsid w:val="563A6D6F"/>
    <w:rsid w:val="563F1955"/>
    <w:rsid w:val="566C5C56"/>
    <w:rsid w:val="567957C9"/>
    <w:rsid w:val="56943B87"/>
    <w:rsid w:val="56B91708"/>
    <w:rsid w:val="56C34335"/>
    <w:rsid w:val="56DF4746"/>
    <w:rsid w:val="570566FB"/>
    <w:rsid w:val="573A28F7"/>
    <w:rsid w:val="57603931"/>
    <w:rsid w:val="578B615C"/>
    <w:rsid w:val="57A8352A"/>
    <w:rsid w:val="57D91936"/>
    <w:rsid w:val="59B60181"/>
    <w:rsid w:val="5A867D4B"/>
    <w:rsid w:val="5B1D3C34"/>
    <w:rsid w:val="5B3225AA"/>
    <w:rsid w:val="5BCA1CC1"/>
    <w:rsid w:val="5C4750C0"/>
    <w:rsid w:val="5CBC5AAE"/>
    <w:rsid w:val="5CE72BD4"/>
    <w:rsid w:val="5DCA1A6D"/>
    <w:rsid w:val="5E687627"/>
    <w:rsid w:val="5F8E5905"/>
    <w:rsid w:val="5FCA04E2"/>
    <w:rsid w:val="5FEB416F"/>
    <w:rsid w:val="5FEE70DE"/>
    <w:rsid w:val="60D158A0"/>
    <w:rsid w:val="60DB227B"/>
    <w:rsid w:val="615A7643"/>
    <w:rsid w:val="61BC20AC"/>
    <w:rsid w:val="6263077A"/>
    <w:rsid w:val="632223E3"/>
    <w:rsid w:val="64C179D9"/>
    <w:rsid w:val="64E73D4D"/>
    <w:rsid w:val="64FB2EEB"/>
    <w:rsid w:val="656C3DE9"/>
    <w:rsid w:val="66510A6B"/>
    <w:rsid w:val="6718150E"/>
    <w:rsid w:val="6813694C"/>
    <w:rsid w:val="682F7D0B"/>
    <w:rsid w:val="68B64FF4"/>
    <w:rsid w:val="68DA1954"/>
    <w:rsid w:val="695D5F23"/>
    <w:rsid w:val="6A116D0D"/>
    <w:rsid w:val="6AB05B7D"/>
    <w:rsid w:val="6AE20208"/>
    <w:rsid w:val="6B2D401B"/>
    <w:rsid w:val="6B362ECF"/>
    <w:rsid w:val="6B596BBE"/>
    <w:rsid w:val="6BA57CE2"/>
    <w:rsid w:val="6C0815DE"/>
    <w:rsid w:val="6C1D37BF"/>
    <w:rsid w:val="6CB73B9C"/>
    <w:rsid w:val="6CD04C5E"/>
    <w:rsid w:val="6D54763D"/>
    <w:rsid w:val="6D727842"/>
    <w:rsid w:val="6E252B87"/>
    <w:rsid w:val="6E5B4DC5"/>
    <w:rsid w:val="6FC3029D"/>
    <w:rsid w:val="7023779A"/>
    <w:rsid w:val="7104137A"/>
    <w:rsid w:val="71C2141D"/>
    <w:rsid w:val="72E55795"/>
    <w:rsid w:val="7313123C"/>
    <w:rsid w:val="73734595"/>
    <w:rsid w:val="737A63C6"/>
    <w:rsid w:val="73B01D3A"/>
    <w:rsid w:val="745B7503"/>
    <w:rsid w:val="74E219D2"/>
    <w:rsid w:val="753D30AC"/>
    <w:rsid w:val="75436915"/>
    <w:rsid w:val="75D91027"/>
    <w:rsid w:val="76CA6BC2"/>
    <w:rsid w:val="76FF510D"/>
    <w:rsid w:val="77A21BA2"/>
    <w:rsid w:val="77BC763F"/>
    <w:rsid w:val="78370287"/>
    <w:rsid w:val="78BC41E1"/>
    <w:rsid w:val="78D72DDA"/>
    <w:rsid w:val="78DA7590"/>
    <w:rsid w:val="79EE0E19"/>
    <w:rsid w:val="7A60163D"/>
    <w:rsid w:val="7A645C3F"/>
    <w:rsid w:val="7C3A6597"/>
    <w:rsid w:val="7C8B294F"/>
    <w:rsid w:val="7CAD6D69"/>
    <w:rsid w:val="7CBE0F77"/>
    <w:rsid w:val="7CEA3B1A"/>
    <w:rsid w:val="7E386B07"/>
    <w:rsid w:val="7E647F13"/>
    <w:rsid w:val="7F961D37"/>
    <w:rsid w:val="7FD30895"/>
    <w:rsid w:val="7FDC4CE2"/>
    <w:rsid w:val="7FEA7A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04d3b394-7964-425a-b9fa-81328aa8dba0</errorID>
      <errorWord>(</errorWord>
      <group>L1_Format</group>
      <groupName>格式问题</groupName>
      <ability>L2_HalfPunc</ability>
      <abilityName>全半角检查</abilityName>
      <candidateList>
        <item>（</item>
      </candidateList>
      <explain>文本全半角错误。</explain>
      <paraID>1E74BD3F</paraID>
      <start>105</start>
      <end>106</end>
      <status>modified</status>
      <modifiedWord>（</modifiedWord>
      <trackRevisions>false</trackRevisions>
    </reviewItem>
    <reviewItem>
      <errorID>c121fd7e-782f-4633-9fb8-2f14b05b99e7</errorID>
      <errorWord>)</errorWord>
      <group>L1_Format</group>
      <groupName>格式问题</groupName>
      <ability>L2_HalfPunc</ability>
      <abilityName>全半角检查</abilityName>
      <candidateList>
        <item>）</item>
      </candidateList>
      <explain>文本全半角错误。</explain>
      <paraID>1E74BD3F</paraID>
      <start>118</start>
      <end>119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dbc8ad-6e79-49eb-9261-552c2737bc24}">
  <ds:schemaRefs/>
</ds:datastoreItem>
</file>

<file path=docProps/app.xml><?xml version="1.0" encoding="utf-8"?>
<Properties xmlns="http://schemas.openxmlformats.org/officeDocument/2006/extended-properties" xmlns:vt="http://schemas.openxmlformats.org/officeDocument/2006/docPropsVTypes">
  <Template>Normal.dotm</Template>
  <Pages>4</Pages>
  <Words>1826</Words>
  <Characters>1855</Characters>
  <Lines>0</Lines>
  <Paragraphs>0</Paragraphs>
  <TotalTime>2</TotalTime>
  <ScaleCrop>false</ScaleCrop>
  <LinksUpToDate>false</LinksUpToDate>
  <CharactersWithSpaces>1855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2024-08-22T03:49:00Z</dcterms:created>
  <dc:creator>Administrator</dc:creator>
  <cp:lastModifiedBy>转动O(∩_∩)O~ </cp:lastModifiedBy>
  <dcterms:modified xsi:type="dcterms:W3CDTF">2026-01-27T00:47:08Z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31C3F0EAAAA2434D8D41488D9452A3B9_13</vt:lpwstr>
  </property>
  <property fmtid="{D5CDD505-2E9C-101B-9397-08002B2CF9AE}" pid="4" name="KSOTemplateDocerSaveRecord">
    <vt:lpwstr>eyJoZGlkIjoiZDEwNWI3ZDMyYjZmYTVmNzg5NzkyNDdiNWY0ZDhhMGYiLCJ1c2VySWQiOiI0NTU3MzIzNTUifQ==</vt:lpwstr>
  </property>
</Properties>
</file>