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</w:rPr>
        <w:t>石台县科协</w:t>
      </w:r>
    </w:p>
    <w:p>
      <w:pPr>
        <w:widowControl/>
        <w:shd w:val="clear" w:color="auto" w:fill="FFFFFF"/>
        <w:jc w:val="center"/>
        <w:rPr>
          <w:rFonts w:ascii="微软雅黑" w:hAnsi="微软雅黑" w:eastAsia="微软雅黑" w:cs="宋体"/>
          <w:color w:val="333333"/>
          <w:kern w:val="0"/>
          <w:sz w:val="44"/>
          <w:szCs w:val="4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  <w:t>2018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</w:rPr>
        <w:t>年部门预算</w:t>
      </w:r>
    </w:p>
    <w:p>
      <w:pPr>
        <w:widowControl/>
        <w:shd w:val="clear" w:color="auto" w:fill="FFFFFF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微软雅黑" w:hAnsi="微软雅黑" w:eastAsia="微软雅黑" w:cs="宋体"/>
          <w:color w:val="333333"/>
          <w:kern w:val="0"/>
          <w:sz w:val="44"/>
          <w:szCs w:val="44"/>
        </w:rPr>
        <w:t>2018年1月8日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  <w:lang w:eastAsia="zh-CN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  <w:lang w:eastAsia="zh-CN"/>
        </w:rPr>
        <w:t>目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44"/>
          <w:szCs w:val="44"/>
          <w:lang w:eastAsia="zh-CN"/>
        </w:rPr>
        <w:t>录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第一部分 部门概况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1.  主要职责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2.  部门预算单位构成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3.  2018年度主要工作任务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第二部分 2018年部门预算情况说明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1.关于2018年财政拨款收支预算总体情况说明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2.关于2018年一般公共预算财政拨款情况说明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3.关于2018年一般公共预算基本支出情况说明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4.关于2018年政府性基金预算拨款情况说明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5.关于2018年收支预算总体情况说明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6.关于2018年收入预算情况说明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7.关于2018年支出预算情况说明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8.关于2018年国有资本经营预算拨款情况说明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9.批复绩效目标的项目及绩效目标设置情况说明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10.其他重要事项情况说明（含机关运行经费、政府采购预算、政府购买服务预算、国有资产占用情况等说明）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第三部分 名词解释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第四部分 2018年部门预算表（附表）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1.  2018年部门财政拨款收支预算总表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2.  2018年部门一般公共预算支出预算表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3.  2018年部门一般公共预算基本支出预算表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4.  2018年部门政府性基金预算支出预算表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5.   2018年部门收支预算总表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6.   2018年部门收入预算总表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7.   2018年部门支出预算总表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8.   2018年部门国有资本经营预算支出预算表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9.  2018年部门政府采购预算表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10.2018年政府购买服务预算表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 </w:t>
      </w: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</w:pPr>
    </w:p>
    <w:p>
      <w:pPr>
        <w:widowControl/>
        <w:shd w:val="clear" w:color="auto" w:fill="FFFFFF"/>
        <w:ind w:firstLine="720" w:firstLineChars="30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第一部分 部门概况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一、 主要职责</w:t>
      </w:r>
    </w:p>
    <w:p>
      <w:pPr>
        <w:widowControl/>
        <w:shd w:val="clear" w:color="auto" w:fill="FFFFFF"/>
        <w:ind w:firstLine="64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根据上级文件规定，本部门主要职责是：1、开展学术交流，活跃学术思想，促进经济发展；2、拟定科协系统科普工作的具体规划，并组织实施动员社会各方面力量，开展农村实用技术培训和青少年科技活动等。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二、 部门预算单位构成</w:t>
      </w:r>
    </w:p>
    <w:tbl>
      <w:tblPr>
        <w:tblStyle w:val="2"/>
        <w:tblW w:w="0" w:type="auto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0"/>
        <w:gridCol w:w="3246"/>
        <w:gridCol w:w="40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序号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单位名称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单位性质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1</w:t>
            </w:r>
          </w:p>
        </w:tc>
        <w:tc>
          <w:tcPr>
            <w:tcW w:w="36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县科协本级</w:t>
            </w:r>
          </w:p>
        </w:tc>
        <w:tc>
          <w:tcPr>
            <w:tcW w:w="4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县科协单位（行政）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</w:t>
            </w:r>
          </w:p>
        </w:tc>
        <w:tc>
          <w:tcPr>
            <w:tcW w:w="36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</w:rPr>
              <w:t> </w:t>
            </w:r>
          </w:p>
        </w:tc>
        <w:tc>
          <w:tcPr>
            <w:tcW w:w="4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3</w:t>
            </w:r>
          </w:p>
        </w:tc>
        <w:tc>
          <w:tcPr>
            <w:tcW w:w="36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</w:rPr>
              <w:t> </w:t>
            </w:r>
          </w:p>
        </w:tc>
        <w:tc>
          <w:tcPr>
            <w:tcW w:w="4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ind w:firstLine="72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</w:rPr>
              <w:t> </w:t>
            </w:r>
          </w:p>
        </w:tc>
      </w:tr>
    </w:tbl>
    <w:p>
      <w:pPr>
        <w:widowControl/>
        <w:shd w:val="clear" w:color="auto" w:fill="FFFFFF"/>
        <w:jc w:val="left"/>
        <w:rPr>
          <w:rFonts w:ascii="微软雅黑" w:hAnsi="微软雅黑" w:eastAsia="微软雅黑" w:cs="宋体"/>
          <w:vanish/>
          <w:color w:val="333333"/>
          <w:kern w:val="0"/>
          <w:sz w:val="24"/>
          <w:szCs w:val="24"/>
        </w:rPr>
      </w:pPr>
    </w:p>
    <w:tbl>
      <w:tblPr>
        <w:tblStyle w:val="2"/>
        <w:tblW w:w="9015" w:type="dxa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1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</w:tcPr>
          <w:p>
            <w:pPr>
              <w:widowControl/>
              <w:ind w:firstLine="64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Calibri" w:hAnsi="Calibri" w:eastAsia="仿宋" w:cs="Calibri"/>
                <w:kern w:val="0"/>
                <w:sz w:val="32"/>
                <w:szCs w:val="32"/>
              </w:rPr>
              <w:t> </w:t>
            </w:r>
          </w:p>
        </w:tc>
      </w:tr>
    </w:tbl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br w:type="textWrapping"/>
      </w:r>
    </w:p>
    <w:p>
      <w:pPr>
        <w:widowControl/>
        <w:shd w:val="clear" w:color="auto" w:fill="FFFFFF"/>
        <w:ind w:firstLine="760"/>
        <w:rPr>
          <w:rFonts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县科协有下属预算单位0个（无下属预算单位），2018年度部门预算由局本级和下属0个预算单位（由局本级）预算组成，纳入部门预算编制范围的单位共1个，具体情况见下表。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三、2018年度主要工作任务</w:t>
      </w:r>
    </w:p>
    <w:p>
      <w:pPr>
        <w:widowControl/>
        <w:shd w:val="clear" w:color="auto" w:fill="FFFFFF"/>
        <w:ind w:firstLine="672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县科协将立足科学发展、履行自身职责、发挥组织优势、整合社会资源、搭建共享平台、形成长效机制，努力实现科协工作的新突破。</w:t>
      </w:r>
    </w:p>
    <w:p>
      <w:pPr>
        <w:widowControl/>
        <w:shd w:val="clear" w:color="auto" w:fill="FFFFFF"/>
        <w:ind w:firstLine="643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一是密切联系科技工作者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。进一步加强与会员和科技工作者的联系，主动向党委、政府和有关部门反映他们的的意见、建议和诉求，帮助协调解决问题和困难。</w:t>
      </w:r>
    </w:p>
    <w:p>
      <w:pPr>
        <w:widowControl/>
        <w:shd w:val="clear" w:color="auto" w:fill="FFFFFF"/>
        <w:ind w:left="-50" w:firstLine="643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二是服务创新驱动发展。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积极争取支持，在专业技术人才相对集中的部门，指导成立相关学会，引导学会承接政府转移的社会化服务职能。</w:t>
      </w:r>
    </w:p>
    <w:p>
      <w:pPr>
        <w:widowControl/>
        <w:shd w:val="clear" w:color="auto" w:fill="FFFFFF"/>
        <w:ind w:firstLine="643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三是服务全民科学素质提高。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继续坚持“政府主导、全民参与、提升素质、促进和谐”的工作方针，认真履行《纲要》办公室职责，锲而不舍抓好《科学素质纲要》实施。</w:t>
      </w:r>
    </w:p>
    <w:p>
      <w:pPr>
        <w:widowControl/>
        <w:shd w:val="clear" w:color="auto" w:fill="FFFFFF"/>
        <w:ind w:firstLine="643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四是加强自身建设服务科协事业。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牢牢把握党的领导这一群团发展的核心和灵魂，坚持把自觉接受党的领导、团结服务科技工作者、依法依章程开展工作有机统一起来。坚决贯彻执行《准则》和《条例》要求，营造机关重视学习、崇尚学习、坚持学习的浓厚氛围，提高机关干部职工的综合素质、创新能力、服务水平和工作效率，为科协机关更好的履行职能提供坚强有力的保障。</w:t>
      </w: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第二部分 2018年部门预算情况说明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一、 关于2018年财政拨款收支预算总体情况说明</w:t>
      </w:r>
    </w:p>
    <w:p>
      <w:pPr>
        <w:widowControl/>
        <w:shd w:val="clear" w:color="auto" w:fill="FFFFFF"/>
        <w:ind w:firstLine="64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财政拨款收支预算66万元。收入按资金来源分为：一般公共预算拨款66万元；按资金年度分为：当年财政拨款收入66万元。支出按功能分类分为：一般公共服务支出48.5万元，占73.5%；科学技术支出4万元，占6%；社会保障和就业支出9.3万元，占14.1%;住房保障支出4.2万元，占6.4%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 </w:t>
      </w:r>
    </w:p>
    <w:p>
      <w:pPr>
        <w:widowControl/>
        <w:shd w:val="clear" w:color="auto" w:fill="FFFFFF"/>
        <w:ind w:firstLine="64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二、 关于2018年一般公共预算拨款情况说明</w:t>
      </w:r>
    </w:p>
    <w:p>
      <w:pPr>
        <w:widowControl/>
        <w:shd w:val="clear" w:color="auto" w:fill="FFFFFF"/>
        <w:ind w:firstLine="64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（一）一般公共预算拨款规模变化情况。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县科协2018年一般公共预算拨款66万元，比2017年预算拨款减少10.7万元，减少14%,减少原因主要是退休人员划入社保管理。</w:t>
      </w:r>
    </w:p>
    <w:p>
      <w:pPr>
        <w:widowControl/>
        <w:shd w:val="clear" w:color="auto" w:fill="FFFFFF"/>
        <w:ind w:firstLine="64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（二）一般公共预算拨款结构情况。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社会保障和就业支出9.3万元，占14.1%;住房保障支出4.2万元，占6.4%。</w:t>
      </w:r>
    </w:p>
    <w:p>
      <w:pPr>
        <w:widowControl/>
        <w:shd w:val="clear" w:color="auto" w:fill="FFFFFF"/>
        <w:ind w:firstLine="64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（三）一般公共预算拨款具体使用情况。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1. “社会保障和就业支出” 2018年预算9.3万元，比2017年预算减少1.2万元，减少14.8%,减少原因主要是退休人员划入社保管理。其中：“归口管理的行政单位离退休”预算0万元；“机关事业单位基本养老保险 缴费支出”9.3万元，主要用于缴纳职工养老保险费。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2. 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“医疗卫生与计划生育支出” 2018年预算0万元，比2017年预算增加0万元。</w:t>
      </w:r>
    </w:p>
    <w:p>
      <w:pPr>
        <w:widowControl/>
        <w:shd w:val="clear" w:color="auto" w:fill="FFFFFF"/>
        <w:ind w:firstLine="381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3.  </w:t>
      </w: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“住房保障支出” 2018年预算4.2万元，比2017年预算减少0.4万元，减少8.7%，减少原因主要是新增退休1人。其中：“住房公积金”预算4.2万元，主要用于缴纳职工住房公积金。</w:t>
      </w:r>
    </w:p>
    <w:p>
      <w:pPr>
        <w:widowControl/>
        <w:shd w:val="clear" w:color="auto" w:fill="FFFFFF"/>
        <w:ind w:firstLine="1334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三、关于2018年一般公共预算基本支出情况说明</w:t>
      </w:r>
    </w:p>
    <w:p>
      <w:pPr>
        <w:widowControl/>
        <w:shd w:val="clear" w:color="auto" w:fill="FFFFFF"/>
        <w:ind w:firstLine="133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县科协2018年一般公共预算基本支出62万元，其中：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工资福利支出47.3万元，主要包括：基本工资、津贴补贴、奖金、机关事业单位基本养老保险缴费、城镇职工基本医疗保险缴费、其他社会保障缴费、住房公积金、医疗费...。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商品和服务支出9.8万元，主要包括：办公费、印刷费、邮电费、差旅费、培训费、工会经费、福利费、其他交通费用、其他商品和服务支出。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对个人和家庭的补助4.9万元，主要包括：退休费、医疗费补助、其他对个人和家庭的补助支出。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四、 关于2018年政府性基金预算拨款情况说明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县科协2018年无政府性基金预算。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五、 关于2018年收支预算总体情况说明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按照综合预算管理原则，县科协所有收入和支出均纳入部门预算管理。县科协2018年收支总预算66万元，收入为一般公共预算拨款收入，支出包括：社会保障支出、医疗卫生与计划生育支出、住房保障支出等。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六、 关于2018年收入预算情况说明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县科协2018年收入预算66万元，其中： 一般公共预算拨款收入66万元，占100%，比2017年预算减少10.7万元，减少14%，减少原因主要是退休人员划入社保管理。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七、 关于2018年支出预算情况说明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县科协2018年支出预算66万元，比2017年预算减少10.7万元，减少14%,减少原因主要是退休人员划入社保管理。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其中，基本支出62万元，占93.9%,主要用于工资福利支出及商品服务支出等；项目支出4万元，占6.1%,主要用于科学技术普及交通费、会议费等。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八、 关于2018年国有资本经营预算拨款情况说明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县科协2018年没有国有资本经营预算拨款收入，也没有使用国有资本经营预算拨款安排的支出。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九、项目绩效目标设置情况说明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县科协2018年按照规定设置绩效目标的项目1个，项目设置了绩效目标并实行单位自评。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十、 其他重要事项情况说明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（一） 机关运行经费。</w:t>
      </w:r>
    </w:p>
    <w:p>
      <w:pPr>
        <w:widowControl/>
        <w:shd w:val="clear" w:color="auto" w:fill="FFFFFF"/>
        <w:ind w:firstLine="760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县科协2018年机关运行经费财政拨款预算9.8万元，主要用于保障机关正常运行。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（二） 政府采购情况。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县科协2018年政府采购预算总额0.7万元。其中：政府采购货物预算0.7万元。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（三） 国有资产占用使用情况。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县科协有公务用车0辆，单位价值50万元以上的通用设备单位0个，价值100万元以上的专用设备0个。</w:t>
      </w:r>
    </w:p>
    <w:p>
      <w:pPr>
        <w:widowControl/>
        <w:shd w:val="clear" w:color="auto" w:fill="FFFFFF"/>
        <w:ind w:firstLine="76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2018年部门预算安排公务用车购置0万元，购置公务用车0辆，安排购置单位价值50万元以上的通用设备0个，安排购置单位价值100万元以上专用设备0个。</w:t>
      </w:r>
    </w:p>
    <w:p>
      <w:pPr>
        <w:widowControl/>
        <w:shd w:val="clear" w:color="auto" w:fill="FFFFFF"/>
        <w:ind w:firstLine="763"/>
        <w:jc w:val="left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</w:rPr>
        <w:t>第三部分 名词解释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一、 财政拨款收入：指市财政当年拨付的资金，主要包括一般 公共预算拨款收入和政府性基金拨款收入。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二、 基本支出：指为保障机构正常运转、完成日常工作任务而发生的人员支出和公用支出。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三、 项目支出：指在基本支出之外为完成特定行政任务和事业 发展目标所发生的支出。</w:t>
      </w:r>
    </w:p>
    <w:p>
      <w:pPr>
        <w:widowControl/>
        <w:shd w:val="clear" w:color="auto" w:fill="FFFFFF"/>
        <w:ind w:firstLine="763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4"/>
          <w:szCs w:val="24"/>
        </w:rPr>
        <w:t>四、 机关运行经费：指各部门的公用经费，包括办公及印刷费、 邮电费、差旅费、会议费、福利费、日常维修费、专用材料及一般设备购置费、办公用房水电费、办公用房取暖费、办公用房物业管理费、公务用车运行维护费以及其他费用。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F2"/>
    <w:rsid w:val="0036419A"/>
    <w:rsid w:val="004E35AC"/>
    <w:rsid w:val="00775BC4"/>
    <w:rsid w:val="00DD74F2"/>
    <w:rsid w:val="15D04ADF"/>
    <w:rsid w:val="41FA5DEF"/>
    <w:rsid w:val="73D9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3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5">
    <w:name w:val="bodytext3timesnewroman"/>
    <w:basedOn w:val="3"/>
    <w:qFormat/>
    <w:uiPriority w:val="0"/>
  </w:style>
  <w:style w:type="character" w:customStyle="1" w:styleId="6">
    <w:name w:val="bodytext4spacing4pt"/>
    <w:basedOn w:val="3"/>
    <w:qFormat/>
    <w:uiPriority w:val="0"/>
  </w:style>
  <w:style w:type="paragraph" w:customStyle="1" w:styleId="7">
    <w:name w:val="bodytext2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8">
    <w:name w:val="bodytext5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bodytext2bold"/>
    <w:basedOn w:val="3"/>
    <w:qFormat/>
    <w:uiPriority w:val="0"/>
  </w:style>
  <w:style w:type="paragraph" w:customStyle="1" w:styleId="10">
    <w:name w:val="bodytext6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bodytext212pt1"/>
    <w:basedOn w:val="3"/>
    <w:qFormat/>
    <w:uiPriority w:val="0"/>
  </w:style>
  <w:style w:type="character" w:customStyle="1" w:styleId="12">
    <w:name w:val="bodytext6timesnewroman"/>
    <w:basedOn w:val="3"/>
    <w:qFormat/>
    <w:uiPriority w:val="0"/>
  </w:style>
  <w:style w:type="character" w:customStyle="1" w:styleId="13">
    <w:name w:val="bodytext55pt"/>
    <w:basedOn w:val="3"/>
    <w:qFormat/>
    <w:uiPriority w:val="0"/>
  </w:style>
  <w:style w:type="character" w:customStyle="1" w:styleId="14">
    <w:name w:val="bodytext5notbold"/>
    <w:basedOn w:val="3"/>
    <w:qFormat/>
    <w:uiPriority w:val="0"/>
  </w:style>
  <w:style w:type="paragraph" w:customStyle="1" w:styleId="15">
    <w:name w:val="bodytext8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485</Words>
  <Characters>2766</Characters>
  <Lines>23</Lines>
  <Paragraphs>6</Paragraphs>
  <TotalTime>2</TotalTime>
  <ScaleCrop>false</ScaleCrop>
  <LinksUpToDate>false</LinksUpToDate>
  <CharactersWithSpaces>3245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2020-02-28T03:01:00Z</dcterms:created>
  <dc:creator>12785</dc:creator>
  <cp:lastModifiedBy>wml</cp:lastModifiedBy>
  <dcterms:modified xsi:type="dcterms:W3CDTF">2020-02-28T05:29:27Z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