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E49" w:rsidRDefault="00F87592">
      <w:pPr>
        <w:pStyle w:val="Bodytext30"/>
        <w:shd w:val="clear" w:color="auto" w:fill="auto"/>
        <w:spacing w:after="0" w:line="900" w:lineRule="exact"/>
        <w:rPr>
          <w:b/>
          <w:bCs/>
        </w:rPr>
      </w:pPr>
      <w:r>
        <w:rPr>
          <w:rFonts w:eastAsiaTheme="minorEastAsia" w:hint="eastAsia"/>
          <w:b/>
          <w:bCs/>
        </w:rPr>
        <w:t>石台县</w:t>
      </w:r>
      <w:r>
        <w:rPr>
          <w:rFonts w:eastAsiaTheme="minorEastAsia" w:hint="eastAsia"/>
          <w:b/>
          <w:bCs/>
        </w:rPr>
        <w:t>信访</w:t>
      </w:r>
      <w:r>
        <w:rPr>
          <w:b/>
          <w:bCs/>
        </w:rPr>
        <w:t>局</w:t>
      </w:r>
      <w:r>
        <w:rPr>
          <w:b/>
          <w:bCs/>
        </w:rPr>
        <w:br/>
      </w:r>
      <w:r>
        <w:rPr>
          <w:rStyle w:val="Bodytext3TimesNewRoman"/>
          <w:rFonts w:eastAsia="PMingLiU" w:hint="eastAsia"/>
        </w:rPr>
        <w:t>20</w:t>
      </w:r>
      <w:r>
        <w:rPr>
          <w:rStyle w:val="Bodytext3TimesNewRoman"/>
          <w:rFonts w:eastAsia="PMingLiU" w:hint="eastAsia"/>
          <w:lang w:val="en-US"/>
        </w:rPr>
        <w:t>20</w:t>
      </w:r>
      <w:r>
        <w:rPr>
          <w:rStyle w:val="Bodytext3TimesNewRoman"/>
          <w:rFonts w:eastAsia="PMingLiU" w:hint="eastAsia"/>
        </w:rPr>
        <w:t>年</w:t>
      </w:r>
      <w:r>
        <w:rPr>
          <w:b/>
          <w:bCs/>
        </w:rPr>
        <w:t>部门预算</w:t>
      </w:r>
    </w:p>
    <w:p w:rsidR="00DA5E49" w:rsidRDefault="00DA5E49">
      <w:pPr>
        <w:pStyle w:val="Bodytext30"/>
        <w:shd w:val="clear" w:color="auto" w:fill="auto"/>
        <w:spacing w:after="0" w:line="560" w:lineRule="exact"/>
      </w:pPr>
    </w:p>
    <w:p w:rsidR="00DA5E49" w:rsidRDefault="00DA5E49">
      <w:pPr>
        <w:pStyle w:val="Bodytext30"/>
        <w:shd w:val="clear" w:color="auto" w:fill="auto"/>
        <w:spacing w:after="0" w:line="560" w:lineRule="exact"/>
      </w:pPr>
    </w:p>
    <w:p w:rsidR="00DA5E49" w:rsidRDefault="00DA5E49">
      <w:pPr>
        <w:pStyle w:val="Bodytext30"/>
        <w:shd w:val="clear" w:color="auto" w:fill="auto"/>
        <w:spacing w:after="0" w:line="560" w:lineRule="exact"/>
      </w:pPr>
    </w:p>
    <w:p w:rsidR="00DA5E49" w:rsidRDefault="00DA5E49">
      <w:pPr>
        <w:pStyle w:val="Bodytext30"/>
        <w:shd w:val="clear" w:color="auto" w:fill="auto"/>
        <w:spacing w:after="0" w:line="560" w:lineRule="exact"/>
      </w:pPr>
    </w:p>
    <w:p w:rsidR="00DA5E49" w:rsidRDefault="00DA5E49">
      <w:pPr>
        <w:pStyle w:val="Bodytext30"/>
        <w:shd w:val="clear" w:color="auto" w:fill="auto"/>
        <w:spacing w:after="0" w:line="560" w:lineRule="exact"/>
      </w:pPr>
    </w:p>
    <w:p w:rsidR="00DA5E49" w:rsidRDefault="00DA5E49">
      <w:pPr>
        <w:pStyle w:val="Bodytext30"/>
        <w:shd w:val="clear" w:color="auto" w:fill="auto"/>
        <w:spacing w:after="0" w:line="560" w:lineRule="exact"/>
      </w:pPr>
    </w:p>
    <w:p w:rsidR="00DA5E49" w:rsidRDefault="00DA5E49">
      <w:pPr>
        <w:pStyle w:val="Bodytext30"/>
        <w:shd w:val="clear" w:color="auto" w:fill="auto"/>
        <w:spacing w:after="0" w:line="560" w:lineRule="exact"/>
      </w:pPr>
    </w:p>
    <w:p w:rsidR="00DA5E49" w:rsidRDefault="00DA5E49">
      <w:pPr>
        <w:pStyle w:val="Bodytext30"/>
        <w:shd w:val="clear" w:color="auto" w:fill="auto"/>
        <w:spacing w:after="0" w:line="560" w:lineRule="exact"/>
      </w:pPr>
    </w:p>
    <w:p w:rsidR="00DA5E49" w:rsidRDefault="00DA5E49">
      <w:pPr>
        <w:pStyle w:val="Bodytext30"/>
        <w:shd w:val="clear" w:color="auto" w:fill="auto"/>
        <w:spacing w:after="0" w:line="560" w:lineRule="exact"/>
        <w:jc w:val="both"/>
      </w:pPr>
    </w:p>
    <w:p w:rsidR="00DA5E49" w:rsidRDefault="00F87592">
      <w:pPr>
        <w:pStyle w:val="Bodytext30"/>
        <w:shd w:val="clear" w:color="auto" w:fill="auto"/>
        <w:spacing w:after="0" w:line="560" w:lineRule="exact"/>
        <w:rPr>
          <w:lang w:val="en-US"/>
        </w:rPr>
        <w:sectPr w:rsidR="00DA5E49">
          <w:pgSz w:w="11900" w:h="16840"/>
          <w:pgMar w:top="4790" w:right="3555" w:bottom="3554" w:left="3147" w:header="0" w:footer="3" w:gutter="0"/>
          <w:cols w:space="720"/>
          <w:docGrid w:linePitch="360"/>
        </w:sectPr>
      </w:pPr>
      <w:r>
        <w:rPr>
          <w:rStyle w:val="Bodytext4Spacing4pt"/>
          <w:rFonts w:hint="eastAsia"/>
        </w:rPr>
        <w:t>20</w:t>
      </w:r>
      <w:r>
        <w:rPr>
          <w:rStyle w:val="Bodytext4Spacing4pt"/>
          <w:rFonts w:hint="eastAsia"/>
          <w:lang w:val="en-US"/>
        </w:rPr>
        <w:t>20</w:t>
      </w:r>
      <w:r>
        <w:rPr>
          <w:rStyle w:val="Bodytext4Spacing4pt"/>
          <w:rFonts w:hint="eastAsia"/>
        </w:rPr>
        <w:t>年</w:t>
      </w:r>
      <w:r>
        <w:rPr>
          <w:rStyle w:val="Bodytext4Spacing4pt"/>
          <w:lang w:val="en-US"/>
        </w:rPr>
        <w:t>1</w:t>
      </w:r>
      <w:r>
        <w:rPr>
          <w:rStyle w:val="Bodytext4Spacing4pt"/>
        </w:rPr>
        <w:t>月</w:t>
      </w:r>
      <w:r>
        <w:rPr>
          <w:rStyle w:val="Bodytext4Spacing4pt"/>
          <w:rFonts w:hint="eastAsia"/>
          <w:lang w:val="en-US"/>
        </w:rPr>
        <w:t>2</w:t>
      </w:r>
      <w:r>
        <w:rPr>
          <w:rStyle w:val="Bodytext4Spacing4pt"/>
          <w:lang w:val="en-US"/>
        </w:rPr>
        <w:t>0</w:t>
      </w:r>
      <w:r>
        <w:rPr>
          <w:rStyle w:val="Bodytext4Spacing4pt"/>
          <w:rFonts w:hint="eastAsia"/>
          <w:lang w:val="en-US"/>
        </w:rPr>
        <w:t>日</w:t>
      </w:r>
    </w:p>
    <w:p w:rsidR="00DA5E49" w:rsidRDefault="00DA5E49">
      <w:pPr>
        <w:spacing w:before="65" w:after="65" w:line="240" w:lineRule="exact"/>
        <w:rPr>
          <w:sz w:val="19"/>
          <w:szCs w:val="19"/>
        </w:rPr>
      </w:pPr>
    </w:p>
    <w:p w:rsidR="00DA5E49" w:rsidRDefault="00DA5E49">
      <w:pPr>
        <w:rPr>
          <w:sz w:val="2"/>
          <w:szCs w:val="2"/>
        </w:rPr>
        <w:sectPr w:rsidR="00DA5E49">
          <w:pgSz w:w="11900" w:h="16840"/>
          <w:pgMar w:top="1920" w:right="0" w:bottom="1775" w:left="0" w:header="0" w:footer="3" w:gutter="0"/>
          <w:cols w:space="720"/>
          <w:docGrid w:linePitch="360"/>
        </w:sectPr>
      </w:pPr>
    </w:p>
    <w:p w:rsidR="00DA5E49" w:rsidRDefault="00F87592">
      <w:pPr>
        <w:pStyle w:val="Bodytext50"/>
        <w:shd w:val="clear" w:color="auto" w:fill="auto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lastRenderedPageBreak/>
        <w:t xml:space="preserve">                </w:t>
      </w:r>
      <w:r>
        <w:rPr>
          <w:rFonts w:ascii="仿宋" w:eastAsia="仿宋" w:hAnsi="仿宋" w:cs="仿宋" w:hint="eastAsia"/>
          <w:sz w:val="36"/>
          <w:szCs w:val="36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目录</w:t>
      </w:r>
    </w:p>
    <w:p w:rsidR="00DA5E49" w:rsidRDefault="00F87592">
      <w:pPr>
        <w:pStyle w:val="Bodytext50"/>
        <w:shd w:val="clear" w:color="auto" w:fill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第一部分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部门概况</w:t>
      </w:r>
    </w:p>
    <w:p w:rsidR="00DA5E49" w:rsidRDefault="00F87592">
      <w:pPr>
        <w:pStyle w:val="Bodytext20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主要职责</w:t>
      </w:r>
    </w:p>
    <w:p w:rsidR="00DA5E49" w:rsidRDefault="00F87592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3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部门预算单位构成</w:t>
      </w:r>
    </w:p>
    <w:p w:rsidR="00DA5E49" w:rsidRDefault="00F87592">
      <w:pPr>
        <w:pStyle w:val="Bodytext20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年度主要工作任务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第二部分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年部门预算情况说明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1.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年财政拨款收支预算总体情况说明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年一般公共预算财政拨款情况说明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3.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年一般公共预算基本支出情况说明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4.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年政府性基金预算拨款情况说明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5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年收支预算总体情况说明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6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年收入预算情况说明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7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年支出预算情况说明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8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关于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年国有资本经营预算拨款情况说明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  <w:lang w:val="en-US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9.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批复绩效目标的项目及绩效目标设置情况说明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b w:val="0"/>
          <w:bCs w:val="0"/>
          <w:sz w:val="32"/>
          <w:szCs w:val="32"/>
          <w:highlight w:val="yellow"/>
        </w:rPr>
      </w:pPr>
      <w:r>
        <w:rPr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10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.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>其他重要事项情况说明（含机关运行经费、政府采购预算、政府购买服务预算、国有资产占用情况等说明）</w:t>
      </w:r>
      <w:r>
        <w:rPr>
          <w:rFonts w:ascii="仿宋" w:eastAsia="仿宋" w:hAnsi="仿宋" w:cs="仿宋" w:hint="eastAsia"/>
          <w:b w:val="0"/>
          <w:bCs w:val="0"/>
          <w:sz w:val="32"/>
          <w:szCs w:val="32"/>
        </w:rPr>
        <w:t xml:space="preserve"> </w:t>
      </w:r>
    </w:p>
    <w:p w:rsidR="00DA5E49" w:rsidRDefault="00F8759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第三部分</w:t>
      </w:r>
      <w:r>
        <w:rPr>
          <w:rStyle w:val="Bodytext2Bold"/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名词解释</w:t>
      </w:r>
    </w:p>
    <w:p w:rsidR="00DA5E49" w:rsidRDefault="00F87592">
      <w:pPr>
        <w:pStyle w:val="Bodytext50"/>
        <w:shd w:val="clear" w:color="auto" w:fill="auto"/>
        <w:spacing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第四部分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年部门预算表（附表）</w:t>
      </w:r>
    </w:p>
    <w:p w:rsidR="00DA5E49" w:rsidRDefault="00F87592">
      <w:pPr>
        <w:pStyle w:val="Bodytext20"/>
        <w:numPr>
          <w:ilvl w:val="0"/>
          <w:numId w:val="2"/>
        </w:numPr>
        <w:shd w:val="clear" w:color="auto" w:fill="auto"/>
        <w:tabs>
          <w:tab w:val="left" w:pos="382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年部门财政拨款收支预算总表</w:t>
      </w:r>
    </w:p>
    <w:p w:rsidR="00DA5E49" w:rsidRDefault="00F87592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年部门一般公共预算支出预算表</w:t>
      </w:r>
    </w:p>
    <w:p w:rsidR="00DA5E49" w:rsidRDefault="00F87592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年部门一般公共预算基本支出预算表</w:t>
      </w:r>
    </w:p>
    <w:p w:rsidR="00DA5E49" w:rsidRDefault="00F87592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年部门政府性基金预算支出预算表</w:t>
      </w:r>
    </w:p>
    <w:p w:rsidR="00DA5E49" w:rsidRDefault="00F87592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年部门收支预算总表</w:t>
      </w:r>
    </w:p>
    <w:p w:rsidR="00DA5E49" w:rsidRDefault="00F87592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年部门收入预算总表</w:t>
      </w:r>
    </w:p>
    <w:p w:rsidR="00DA5E49" w:rsidRDefault="00F87592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年部门支出预算总表</w:t>
      </w:r>
    </w:p>
    <w:p w:rsidR="00DA5E49" w:rsidRDefault="00F87592">
      <w:pPr>
        <w:pStyle w:val="Bodytext20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年部门</w:t>
      </w:r>
      <w:r>
        <w:rPr>
          <w:rFonts w:ascii="仿宋" w:eastAsia="仿宋" w:hAnsi="仿宋" w:cs="仿宋" w:hint="eastAsia"/>
          <w:sz w:val="32"/>
          <w:szCs w:val="32"/>
        </w:rPr>
        <w:t>国有资本经营预算支出预算表</w:t>
      </w:r>
    </w:p>
    <w:p w:rsidR="00DA5E49" w:rsidRDefault="00F87592">
      <w:pPr>
        <w:pStyle w:val="Bodytext20"/>
        <w:numPr>
          <w:ilvl w:val="0"/>
          <w:numId w:val="2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年部门政府采购预算表</w:t>
      </w:r>
    </w:p>
    <w:p w:rsidR="00DA5E49" w:rsidRDefault="00F87592">
      <w:pPr>
        <w:pStyle w:val="Bodytext20"/>
        <w:shd w:val="clear" w:color="auto" w:fill="auto"/>
        <w:tabs>
          <w:tab w:val="left" w:pos="392"/>
        </w:tabs>
        <w:spacing w:before="0" w:after="0" w:line="538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10.20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年政府购买服务预算表</w:t>
      </w: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/>
        <w:ind w:left="80"/>
      </w:pPr>
    </w:p>
    <w:p w:rsidR="00DA5E49" w:rsidRDefault="00DA5E49">
      <w:pPr>
        <w:pStyle w:val="Bodytext60"/>
        <w:shd w:val="clear" w:color="auto" w:fill="auto"/>
        <w:spacing w:after="81" w:line="360" w:lineRule="auto"/>
        <w:jc w:val="both"/>
      </w:pPr>
    </w:p>
    <w:p w:rsidR="00DA5E49" w:rsidRDefault="00F87592" w:rsidP="00F87592">
      <w:pPr>
        <w:pStyle w:val="Bodytext60"/>
        <w:shd w:val="clear" w:color="auto" w:fill="auto"/>
        <w:spacing w:after="81" w:line="360" w:lineRule="auto"/>
        <w:ind w:firstLineChars="200" w:firstLine="703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t>第一部分</w:t>
      </w:r>
      <w:r>
        <w:rPr>
          <w:rFonts w:ascii="仿宋" w:eastAsia="仿宋" w:hAnsi="仿宋" w:cs="仿宋" w:hint="eastAsia"/>
          <w:b/>
          <w:bCs/>
          <w:lang w:val="en-US"/>
        </w:rPr>
        <w:t xml:space="preserve"> </w:t>
      </w:r>
      <w:r>
        <w:rPr>
          <w:rFonts w:ascii="仿宋" w:eastAsia="仿宋" w:hAnsi="仿宋" w:cs="仿宋" w:hint="eastAsia"/>
          <w:b/>
          <w:bCs/>
        </w:rPr>
        <w:t>部门概</w:t>
      </w:r>
      <w:bookmarkStart w:id="0" w:name="_GoBack"/>
      <w:bookmarkEnd w:id="0"/>
      <w:r>
        <w:rPr>
          <w:rFonts w:ascii="仿宋" w:eastAsia="仿宋" w:hAnsi="仿宋" w:cs="仿宋" w:hint="eastAsia"/>
          <w:b/>
          <w:bCs/>
        </w:rPr>
        <w:t>况</w:t>
      </w:r>
    </w:p>
    <w:p w:rsidR="00DA5E49" w:rsidRDefault="00F87592" w:rsidP="00F87592">
      <w:pPr>
        <w:pStyle w:val="Bodytext50"/>
        <w:shd w:val="clear" w:color="auto" w:fill="auto"/>
        <w:tabs>
          <w:tab w:val="left" w:pos="1301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一、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主要职责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（一）贯彻落实上级党委、政府有关信访工作的方针、政策。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（二）代表县委、县政府受理来信、网上信访、接待来访</w:t>
      </w:r>
      <w:r>
        <w:rPr>
          <w:rFonts w:ascii="仿宋" w:eastAsia="仿宋" w:hAnsi="仿宋" w:cs="仿宋" w:hint="eastAsia"/>
          <w:sz w:val="32"/>
          <w:szCs w:val="32"/>
        </w:rPr>
        <w:t>;</w:t>
      </w:r>
      <w:r>
        <w:rPr>
          <w:rFonts w:ascii="仿宋" w:eastAsia="仿宋" w:hAnsi="仿宋" w:cs="仿宋" w:hint="eastAsia"/>
          <w:sz w:val="32"/>
          <w:szCs w:val="32"/>
        </w:rPr>
        <w:t>向信访人宣传法律、法规、规章和政策</w:t>
      </w:r>
      <w:r>
        <w:rPr>
          <w:rFonts w:ascii="仿宋" w:eastAsia="仿宋" w:hAnsi="仿宋" w:cs="仿宋" w:hint="eastAsia"/>
          <w:sz w:val="32"/>
          <w:szCs w:val="32"/>
        </w:rPr>
        <w:t>;</w:t>
      </w:r>
      <w:r>
        <w:rPr>
          <w:rFonts w:ascii="仿宋" w:eastAsia="仿宋" w:hAnsi="仿宋" w:cs="仿宋" w:hint="eastAsia"/>
          <w:sz w:val="32"/>
          <w:szCs w:val="32"/>
        </w:rPr>
        <w:t>维护信访人的合法权益。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（三）处理群众和境外人士给县委、县政府的来信</w:t>
      </w:r>
      <w:r>
        <w:rPr>
          <w:rFonts w:ascii="仿宋" w:eastAsia="仿宋" w:hAnsi="仿宋" w:cs="仿宋" w:hint="eastAsia"/>
          <w:sz w:val="32"/>
          <w:szCs w:val="32"/>
        </w:rPr>
        <w:t>:</w:t>
      </w:r>
      <w:r>
        <w:rPr>
          <w:rFonts w:ascii="仿宋" w:eastAsia="仿宋" w:hAnsi="仿宋" w:cs="仿宋" w:hint="eastAsia"/>
          <w:sz w:val="32"/>
          <w:szCs w:val="32"/>
        </w:rPr>
        <w:t>承办上级党政机关转办、交办的信访事项</w:t>
      </w:r>
      <w:r>
        <w:rPr>
          <w:rFonts w:ascii="仿宋" w:eastAsia="仿宋" w:hAnsi="仿宋" w:cs="仿宋" w:hint="eastAsia"/>
          <w:sz w:val="32"/>
          <w:szCs w:val="32"/>
        </w:rPr>
        <w:t>;</w:t>
      </w:r>
      <w:r>
        <w:rPr>
          <w:rFonts w:ascii="仿宋" w:eastAsia="仿宋" w:hAnsi="仿宋" w:cs="仿宋" w:hint="eastAsia"/>
          <w:sz w:val="32"/>
          <w:szCs w:val="32"/>
        </w:rPr>
        <w:t>接待群众来访，保证信访渠道畅通</w:t>
      </w:r>
      <w:r>
        <w:rPr>
          <w:rFonts w:ascii="仿宋" w:eastAsia="仿宋" w:hAnsi="仿宋" w:cs="仿宋" w:hint="eastAsia"/>
          <w:sz w:val="32"/>
          <w:szCs w:val="32"/>
        </w:rPr>
        <w:t>;</w:t>
      </w:r>
      <w:r>
        <w:rPr>
          <w:rFonts w:ascii="仿宋" w:eastAsia="仿宋" w:hAnsi="仿宋" w:cs="仿宋" w:hint="eastAsia"/>
          <w:sz w:val="32"/>
          <w:szCs w:val="32"/>
        </w:rPr>
        <w:t>及时、准确地向县委、县政府领导同志反映来信来访中的重要建议、意见和问题</w:t>
      </w:r>
      <w:r>
        <w:rPr>
          <w:rFonts w:ascii="仿宋" w:eastAsia="仿宋" w:hAnsi="仿宋" w:cs="仿宋" w:hint="eastAsia"/>
          <w:sz w:val="32"/>
          <w:szCs w:val="32"/>
        </w:rPr>
        <w:t>;</w:t>
      </w:r>
      <w:r>
        <w:rPr>
          <w:rFonts w:ascii="仿宋" w:eastAsia="仿宋" w:hAnsi="仿宋" w:cs="仿宋" w:hint="eastAsia"/>
          <w:sz w:val="32"/>
          <w:szCs w:val="32"/>
        </w:rPr>
        <w:t>综合分析信访信息，开展调查研究。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（四）负责全县信访数据统计、分析和信访动态的预测、收集、整理和上报。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（五）承办县委、县政府领导同志交办的信访事项</w:t>
      </w:r>
      <w:r>
        <w:rPr>
          <w:rFonts w:ascii="仿宋" w:eastAsia="仿宋" w:hAnsi="仿宋" w:cs="仿宋" w:hint="eastAsia"/>
          <w:sz w:val="32"/>
          <w:szCs w:val="32"/>
        </w:rPr>
        <w:t>,</w:t>
      </w:r>
      <w:r>
        <w:rPr>
          <w:rFonts w:ascii="仿宋" w:eastAsia="仿宋" w:hAnsi="仿宋" w:cs="仿宋" w:hint="eastAsia"/>
          <w:sz w:val="32"/>
          <w:szCs w:val="32"/>
        </w:rPr>
        <w:t>督促检查领导同志有关批示文件的落实情况</w:t>
      </w:r>
      <w:r>
        <w:rPr>
          <w:rFonts w:ascii="仿宋" w:eastAsia="仿宋" w:hAnsi="仿宋" w:cs="仿宋" w:hint="eastAsia"/>
          <w:sz w:val="32"/>
          <w:szCs w:val="32"/>
        </w:rPr>
        <w:t>;</w:t>
      </w:r>
      <w:r>
        <w:rPr>
          <w:rFonts w:ascii="仿宋" w:eastAsia="仿宋" w:hAnsi="仿宋" w:cs="仿宋" w:hint="eastAsia"/>
          <w:sz w:val="32"/>
          <w:szCs w:val="32"/>
        </w:rPr>
        <w:t>负责协调、督促责任单位处理信访问题。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（六）协调处理跨地区、跨部门的重要信访问题，协调处理群众来县赴省进京集体上访和异常、突发性信访事件。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（七）负责全县信访工作理论研究、信访法规宣传和信访干部业务培训工作。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（八）负责人民群众建议的征集、调查论证及呈报工作，为县委、县政府决策提供依据。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（九）承办县委、县政府交办的其他工作。</w:t>
      </w:r>
    </w:p>
    <w:p w:rsidR="00DA5E49" w:rsidRDefault="00F87592" w:rsidP="00F87592">
      <w:pPr>
        <w:pStyle w:val="Bodytext50"/>
        <w:shd w:val="clear" w:color="auto" w:fill="auto"/>
        <w:tabs>
          <w:tab w:val="left" w:pos="1301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二、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部门预算单位构成</w:t>
      </w:r>
    </w:p>
    <w:tbl>
      <w:tblPr>
        <w:tblW w:w="9014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12"/>
        <w:gridCol w:w="3600"/>
        <w:gridCol w:w="4502"/>
      </w:tblGrid>
      <w:tr w:rsidR="00DA5E49">
        <w:trPr>
          <w:trHeight w:hRule="exact" w:val="40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5E49" w:rsidRDefault="00F87592" w:rsidP="00F87592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序号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5E49" w:rsidRDefault="00F87592" w:rsidP="00F87592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单位名称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E49" w:rsidRDefault="00F87592" w:rsidP="00F87592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Style w:val="Bodytext212pt1"/>
                <w:rFonts w:ascii="仿宋" w:eastAsia="仿宋" w:hAnsi="仿宋" w:cs="仿宋" w:hint="eastAsia"/>
              </w:rPr>
              <w:t>单位性质</w:t>
            </w:r>
          </w:p>
        </w:tc>
      </w:tr>
      <w:tr w:rsidR="00DA5E49">
        <w:trPr>
          <w:trHeight w:hRule="exact" w:val="413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5E49" w:rsidRDefault="00F87592" w:rsidP="00F87592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5E49" w:rsidRDefault="00F87592" w:rsidP="00F87592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局本级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5E49" w:rsidRDefault="00F87592" w:rsidP="00F87592">
            <w:pPr>
              <w:pStyle w:val="Bodytext20"/>
              <w:framePr w:w="9014" w:wrap="notBeside" w:vAnchor="text" w:hAnchor="page" w:x="1416" w:y="1991"/>
              <w:shd w:val="clear" w:color="auto" w:fill="auto"/>
              <w:spacing w:before="0" w:after="0" w:line="360" w:lineRule="auto"/>
              <w:ind w:firstLineChars="200" w:firstLine="520"/>
              <w:jc w:val="center"/>
              <w:rPr>
                <w:rStyle w:val="Bodytext212pt1"/>
                <w:rFonts w:ascii="仿宋" w:eastAsia="仿宋" w:hAnsi="仿宋" w:cs="仿宋"/>
                <w:lang w:val="en-US"/>
              </w:rPr>
            </w:pPr>
            <w:r>
              <w:rPr>
                <w:rStyle w:val="Bodytext212pt1"/>
                <w:rFonts w:ascii="仿宋" w:eastAsia="仿宋" w:hAnsi="仿宋" w:cs="仿宋" w:hint="eastAsia"/>
                <w:lang w:val="en-US"/>
              </w:rPr>
              <w:t>行政单位</w:t>
            </w:r>
          </w:p>
        </w:tc>
      </w:tr>
    </w:tbl>
    <w:p w:rsidR="00DA5E49" w:rsidRDefault="00DA5E49">
      <w:pPr>
        <w:framePr w:w="9014" w:wrap="notBeside" w:vAnchor="text" w:hAnchor="page" w:x="1416" w:y="1991"/>
        <w:spacing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</w:t>
      </w:r>
      <w:r>
        <w:rPr>
          <w:rFonts w:ascii="仿宋" w:eastAsia="仿宋" w:hAnsi="仿宋" w:cs="仿宋" w:hint="eastAsia"/>
          <w:sz w:val="32"/>
          <w:szCs w:val="32"/>
        </w:rPr>
        <w:t>无下属预算单位</w:t>
      </w:r>
      <w:r>
        <w:rPr>
          <w:rFonts w:ascii="仿宋" w:eastAsia="仿宋" w:hAnsi="仿宋" w:cs="仿宋" w:hint="eastAsia"/>
          <w:sz w:val="32"/>
          <w:szCs w:val="32"/>
        </w:rPr>
        <w:t>，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年度部门预算由局本级预算组成，纳入部门预算编制范围的单位共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个，具体情况见下表。</w:t>
      </w:r>
    </w:p>
    <w:p w:rsidR="00DA5E49" w:rsidRDefault="00F87592" w:rsidP="00F87592">
      <w:pPr>
        <w:pStyle w:val="Bodytext50"/>
        <w:shd w:val="clear" w:color="auto" w:fill="auto"/>
        <w:spacing w:before="694" w:after="65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三、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年度主要工作任务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  <w:sectPr w:rsidR="00DA5E49">
          <w:type w:val="continuous"/>
          <w:pgSz w:w="11900" w:h="16840"/>
          <w:pgMar w:top="1920" w:right="1182" w:bottom="1775" w:left="1296" w:header="0" w:footer="3" w:gutter="0"/>
          <w:cols w:space="720"/>
          <w:docGrid w:linePitch="360"/>
        </w:sectPr>
      </w:pPr>
      <w:r>
        <w:rPr>
          <w:rFonts w:ascii="仿宋" w:eastAsia="仿宋" w:hAnsi="仿宋" w:cs="仿宋" w:hint="eastAsia"/>
          <w:sz w:val="32"/>
          <w:szCs w:val="32"/>
        </w:rPr>
        <w:t>坚持以习近平新时代中国特色社会主义思想为指导，深入学习贯彻党的十九大精神、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十九届二中、三中全会精神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，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贯彻落实上级党委、政府有关信访工作的方针、政策，认真接待来信来访；做好到北京和省分流中心驻京以及两会期间、重大节日期间接访、劝返工作；维护社会稳定，加大救助信访特困人员工作；继续开展县领导信访接待日和县领导带案下访活动；做好网上信访信息系统化建设以及县级投诉平台的网上信访，实现信访业务全部网上流转；加大信访积案化解力度，推动问题解决；全力开展信访业务培训，每季度召开信访维稳会议、群众工作开展干部“包片联户，服务群众”活动等。</w:t>
      </w:r>
    </w:p>
    <w:p w:rsidR="00DA5E49" w:rsidRDefault="00F87592" w:rsidP="00F87592">
      <w:pPr>
        <w:pStyle w:val="Bodytext60"/>
        <w:shd w:val="clear" w:color="auto" w:fill="auto"/>
        <w:spacing w:after="0" w:line="360" w:lineRule="auto"/>
        <w:ind w:firstLineChars="200" w:firstLine="703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t>第二部分</w:t>
      </w:r>
      <w:r>
        <w:rPr>
          <w:rFonts w:ascii="仿宋" w:eastAsia="仿宋" w:hAnsi="仿宋" w:cs="仿宋" w:hint="eastAsia"/>
          <w:b/>
          <w:bCs/>
          <w:lang w:val="en-US"/>
        </w:rPr>
        <w:t xml:space="preserve"> </w:t>
      </w:r>
      <w:r>
        <w:rPr>
          <w:rStyle w:val="Bodytext6TimesNewRoman"/>
          <w:rFonts w:ascii="仿宋" w:eastAsia="仿宋" w:hAnsi="仿宋" w:cs="仿宋" w:hint="eastAsia"/>
          <w:b/>
          <w:bCs/>
          <w:sz w:val="32"/>
          <w:szCs w:val="32"/>
        </w:rPr>
        <w:t>20</w:t>
      </w:r>
      <w:r>
        <w:rPr>
          <w:rStyle w:val="Bodytext6TimesNewRoman"/>
          <w:rFonts w:ascii="仿宋" w:eastAsia="仿宋" w:hAnsi="仿宋" w:cs="仿宋" w:hint="eastAsia"/>
          <w:b/>
          <w:bCs/>
          <w:sz w:val="32"/>
          <w:szCs w:val="32"/>
          <w:lang w:val="en-US"/>
        </w:rPr>
        <w:t>20</w:t>
      </w:r>
      <w:r>
        <w:rPr>
          <w:rStyle w:val="Bodytext6TimesNewRoman"/>
          <w:rFonts w:ascii="仿宋" w:eastAsia="仿宋" w:hAnsi="仿宋" w:cs="仿宋" w:hint="eastAsia"/>
          <w:b/>
          <w:bCs/>
          <w:sz w:val="32"/>
          <w:szCs w:val="32"/>
        </w:rPr>
        <w:t>年</w:t>
      </w:r>
      <w:r>
        <w:rPr>
          <w:rFonts w:ascii="仿宋" w:eastAsia="仿宋" w:hAnsi="仿宋" w:cs="仿宋" w:hint="eastAsia"/>
          <w:b/>
          <w:bCs/>
        </w:rPr>
        <w:t>部门预算情况说明</w:t>
      </w:r>
    </w:p>
    <w:p w:rsidR="00DA5E49" w:rsidRDefault="00F87592" w:rsidP="00F87592">
      <w:pPr>
        <w:pStyle w:val="Bodytext50"/>
        <w:shd w:val="clear" w:color="auto" w:fill="auto"/>
        <w:tabs>
          <w:tab w:val="left" w:pos="1473"/>
        </w:tabs>
        <w:spacing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55pt"/>
          <w:rFonts w:ascii="仿宋" w:eastAsia="仿宋" w:hAnsi="仿宋" w:cs="仿宋" w:hint="eastAsia"/>
          <w:sz w:val="32"/>
          <w:szCs w:val="32"/>
        </w:rPr>
        <w:t>一、</w:t>
      </w:r>
      <w:r>
        <w:rPr>
          <w:rStyle w:val="Bodytext55pt"/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年财政拨款收支预算总体情况说明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年财政拨款收支预算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76.7</w:t>
      </w:r>
      <w:r>
        <w:rPr>
          <w:rFonts w:ascii="仿宋" w:eastAsia="仿宋" w:hAnsi="仿宋" w:cs="仿宋" w:hint="eastAsia"/>
          <w:sz w:val="32"/>
          <w:szCs w:val="32"/>
        </w:rPr>
        <w:t>万元。收入按资金来源分为：一般公共预算拨款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76.7</w:t>
      </w:r>
      <w:r>
        <w:rPr>
          <w:rFonts w:ascii="仿宋" w:eastAsia="仿宋" w:hAnsi="仿宋" w:cs="仿宋" w:hint="eastAsia"/>
          <w:sz w:val="32"/>
          <w:szCs w:val="32"/>
        </w:rPr>
        <w:t>万元；按资金年度分为：当年财政拨款收入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76.7</w:t>
      </w:r>
      <w:r>
        <w:rPr>
          <w:rFonts w:ascii="仿宋" w:eastAsia="仿宋" w:hAnsi="仿宋" w:cs="仿宋" w:hint="eastAsia"/>
          <w:sz w:val="32"/>
          <w:szCs w:val="32"/>
        </w:rPr>
        <w:t>万元。支出按功能分类分为：</w:t>
      </w:r>
      <w:r>
        <w:rPr>
          <w:rFonts w:ascii="仿宋" w:eastAsia="仿宋" w:hAnsi="仿宋" w:cs="仿宋" w:hint="eastAsia"/>
          <w:sz w:val="32"/>
          <w:szCs w:val="32"/>
        </w:rPr>
        <w:t>一般公共服务支出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61.6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80.3%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；</w:t>
      </w:r>
      <w:r>
        <w:rPr>
          <w:rFonts w:ascii="仿宋" w:eastAsia="仿宋" w:hAnsi="仿宋" w:cs="仿宋" w:hint="eastAsia"/>
          <w:sz w:val="32"/>
          <w:szCs w:val="32"/>
        </w:rPr>
        <w:t>社会保障和就业支出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9.5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12.3</w:t>
      </w:r>
      <w:r>
        <w:rPr>
          <w:rFonts w:ascii="仿宋" w:eastAsia="仿宋" w:hAnsi="仿宋" w:cs="仿宋" w:hint="eastAsia"/>
          <w:sz w:val="32"/>
          <w:szCs w:val="32"/>
        </w:rPr>
        <w:t>%;</w:t>
      </w:r>
      <w:r>
        <w:rPr>
          <w:rFonts w:ascii="仿宋" w:eastAsia="仿宋" w:hAnsi="仿宋" w:cs="仿宋" w:hint="eastAsia"/>
          <w:sz w:val="32"/>
          <w:szCs w:val="32"/>
        </w:rPr>
        <w:t>卫生健康支出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2.1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2.7</w:t>
      </w:r>
      <w:r>
        <w:rPr>
          <w:rFonts w:ascii="仿宋" w:eastAsia="仿宋" w:hAnsi="仿宋" w:cs="仿宋" w:hint="eastAsia"/>
          <w:sz w:val="32"/>
          <w:szCs w:val="32"/>
        </w:rPr>
        <w:t>%;</w:t>
      </w:r>
      <w:r>
        <w:rPr>
          <w:rFonts w:ascii="仿宋" w:eastAsia="仿宋" w:hAnsi="仿宋" w:cs="仿宋" w:hint="eastAsia"/>
          <w:sz w:val="32"/>
          <w:szCs w:val="32"/>
        </w:rPr>
        <w:t>住房保障支出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3.6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4.7</w:t>
      </w:r>
      <w:r>
        <w:rPr>
          <w:rFonts w:ascii="仿宋" w:eastAsia="仿宋" w:hAnsi="仿宋" w:cs="仿宋" w:hint="eastAsia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>
      <w:pPr>
        <w:pStyle w:val="Bodytext50"/>
        <w:shd w:val="clear" w:color="auto" w:fill="auto"/>
        <w:tabs>
          <w:tab w:val="left" w:pos="1473"/>
        </w:tabs>
        <w:spacing w:after="0"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5NotBold"/>
          <w:rFonts w:ascii="仿宋" w:eastAsia="仿宋" w:hAnsi="仿宋" w:cs="仿宋" w:hint="eastAsia"/>
          <w:sz w:val="32"/>
          <w:szCs w:val="32"/>
        </w:rPr>
        <w:t>二、</w:t>
      </w:r>
      <w:r>
        <w:rPr>
          <w:rStyle w:val="Bodytext5NotBold"/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年一般公共预算拨款情况说明</w:t>
      </w:r>
    </w:p>
    <w:p w:rsidR="00DA5E49" w:rsidRDefault="00F87592">
      <w:pPr>
        <w:pStyle w:val="Bodytext80"/>
        <w:shd w:val="clear" w:color="auto" w:fill="auto"/>
        <w:tabs>
          <w:tab w:val="left" w:pos="1573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（一）一般公共预算拨款规模变化情况。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年一般公共预算拨款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76.7</w:t>
      </w:r>
      <w:r>
        <w:rPr>
          <w:rFonts w:ascii="仿宋" w:eastAsia="仿宋" w:hAnsi="仿宋" w:cs="仿宋" w:hint="eastAsia"/>
          <w:sz w:val="32"/>
          <w:szCs w:val="32"/>
        </w:rPr>
        <w:t>万元，比</w:t>
      </w:r>
      <w:r>
        <w:rPr>
          <w:rFonts w:ascii="仿宋" w:eastAsia="仿宋" w:hAnsi="仿宋" w:cs="仿宋" w:hint="eastAsia"/>
          <w:sz w:val="32"/>
          <w:szCs w:val="32"/>
        </w:rPr>
        <w:t>201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</w:t>
      </w:r>
      <w:r>
        <w:rPr>
          <w:rFonts w:ascii="仿宋" w:eastAsia="仿宋" w:hAnsi="仿宋" w:cs="仿宋" w:hint="eastAsia"/>
          <w:sz w:val="32"/>
          <w:szCs w:val="32"/>
        </w:rPr>
        <w:t>年预算拨款增加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2.2</w:t>
      </w:r>
      <w:r>
        <w:rPr>
          <w:rFonts w:ascii="仿宋" w:eastAsia="仿宋" w:hAnsi="仿宋" w:cs="仿宋" w:hint="eastAsia"/>
          <w:sz w:val="32"/>
          <w:szCs w:val="32"/>
        </w:rPr>
        <w:t>万元，增长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3</w:t>
      </w:r>
      <w:r>
        <w:rPr>
          <w:rFonts w:ascii="仿宋" w:eastAsia="仿宋" w:hAnsi="仿宋" w:cs="仿宋" w:hint="eastAsia"/>
          <w:sz w:val="32"/>
          <w:szCs w:val="32"/>
        </w:rPr>
        <w:t>%,</w:t>
      </w:r>
      <w:r>
        <w:rPr>
          <w:rFonts w:ascii="仿宋" w:eastAsia="仿宋" w:hAnsi="仿宋" w:cs="仿宋" w:hint="eastAsia"/>
          <w:sz w:val="32"/>
          <w:szCs w:val="32"/>
        </w:rPr>
        <w:t>增长原因主要是</w:t>
      </w:r>
      <w:r>
        <w:rPr>
          <w:rFonts w:ascii="仿宋" w:eastAsia="仿宋" w:hAnsi="仿宋" w:cs="仿宋" w:hint="eastAsia"/>
          <w:sz w:val="32"/>
          <w:szCs w:val="32"/>
        </w:rPr>
        <w:t>工资正常晋升增资。</w:t>
      </w:r>
    </w:p>
    <w:p w:rsidR="00DA5E49" w:rsidRDefault="00F87592">
      <w:pPr>
        <w:pStyle w:val="Bodytext80"/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（二）一般公共预算拨款结构情况。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一般公共服务支出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61.6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80.3%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；</w:t>
      </w:r>
      <w:r>
        <w:rPr>
          <w:rFonts w:ascii="仿宋" w:eastAsia="仿宋" w:hAnsi="仿宋" w:cs="仿宋" w:hint="eastAsia"/>
          <w:sz w:val="32"/>
          <w:szCs w:val="32"/>
        </w:rPr>
        <w:t>社会保障和就业支出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9.5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12.3</w:t>
      </w:r>
      <w:r>
        <w:rPr>
          <w:rFonts w:ascii="仿宋" w:eastAsia="仿宋" w:hAnsi="仿宋" w:cs="仿宋" w:hint="eastAsia"/>
          <w:sz w:val="32"/>
          <w:szCs w:val="32"/>
        </w:rPr>
        <w:t>%;</w:t>
      </w:r>
      <w:r>
        <w:rPr>
          <w:rFonts w:ascii="仿宋" w:eastAsia="仿宋" w:hAnsi="仿宋" w:cs="仿宋" w:hint="eastAsia"/>
          <w:sz w:val="32"/>
          <w:szCs w:val="32"/>
        </w:rPr>
        <w:t>卫生健康支出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2.1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2.7</w:t>
      </w:r>
      <w:r>
        <w:rPr>
          <w:rFonts w:ascii="仿宋" w:eastAsia="仿宋" w:hAnsi="仿宋" w:cs="仿宋" w:hint="eastAsia"/>
          <w:sz w:val="32"/>
          <w:szCs w:val="32"/>
        </w:rPr>
        <w:t>%;</w:t>
      </w:r>
      <w:r>
        <w:rPr>
          <w:rFonts w:ascii="仿宋" w:eastAsia="仿宋" w:hAnsi="仿宋" w:cs="仿宋" w:hint="eastAsia"/>
          <w:sz w:val="32"/>
          <w:szCs w:val="32"/>
        </w:rPr>
        <w:t>住房保障支出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3.6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4.7</w:t>
      </w:r>
      <w:r>
        <w:rPr>
          <w:rFonts w:ascii="仿宋" w:eastAsia="仿宋" w:hAnsi="仿宋" w:cs="仿宋" w:hint="eastAsia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>
      <w:pPr>
        <w:pStyle w:val="Bodytext80"/>
        <w:numPr>
          <w:ilvl w:val="0"/>
          <w:numId w:val="3"/>
        </w:numPr>
        <w:shd w:val="clear" w:color="auto" w:fill="auto"/>
        <w:tabs>
          <w:tab w:val="left" w:pos="1578"/>
        </w:tabs>
        <w:spacing w:line="360" w:lineRule="auto"/>
        <w:ind w:firstLineChars="200" w:firstLine="64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一般公共预算拨款具体使用情况。</w:t>
      </w:r>
    </w:p>
    <w:p w:rsidR="00DA5E49" w:rsidRDefault="00F87592">
      <w:pPr>
        <w:pStyle w:val="Bodytext80"/>
        <w:shd w:val="clear" w:color="auto" w:fill="auto"/>
        <w:tabs>
          <w:tab w:val="left" w:pos="1578"/>
        </w:tabs>
        <w:spacing w:line="360" w:lineRule="auto"/>
        <w:ind w:firstLine="0"/>
        <w:jc w:val="both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    </w:t>
      </w:r>
      <w:r>
        <w:rPr>
          <w:rStyle w:val="Bodytext2Bold"/>
          <w:rFonts w:ascii="仿宋" w:eastAsia="仿宋" w:hAnsi="仿宋" w:cs="仿宋" w:hint="eastAsia"/>
          <w:sz w:val="32"/>
          <w:szCs w:val="32"/>
          <w:lang w:val="en-US" w:bidi="en-US"/>
        </w:rPr>
        <w:t>1.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“一般公共服务支出</w:t>
      </w:r>
      <w:r>
        <w:rPr>
          <w:rStyle w:val="Bodytext2Bold"/>
          <w:rFonts w:ascii="仿宋" w:eastAsia="仿宋" w:hAnsi="仿宋" w:cs="仿宋" w:hint="eastAsia"/>
          <w:sz w:val="32"/>
          <w:szCs w:val="32"/>
          <w:lang w:val="en-US"/>
        </w:rPr>
        <w:t>(</w:t>
      </w:r>
      <w:r>
        <w:rPr>
          <w:rStyle w:val="Bodytext2Bold"/>
          <w:rFonts w:ascii="仿宋" w:eastAsia="仿宋" w:hAnsi="仿宋" w:cs="仿宋" w:hint="eastAsia"/>
          <w:sz w:val="32"/>
          <w:szCs w:val="32"/>
          <w:lang w:val="en-US"/>
        </w:rPr>
        <w:t>类</w:t>
      </w:r>
      <w:r>
        <w:rPr>
          <w:rStyle w:val="Bodytext2Bold"/>
          <w:rFonts w:ascii="仿宋" w:eastAsia="仿宋" w:hAnsi="仿宋" w:cs="仿宋" w:hint="eastAsia"/>
          <w:sz w:val="32"/>
          <w:szCs w:val="32"/>
          <w:lang w:val="en-US"/>
        </w:rPr>
        <w:t>)</w:t>
      </w:r>
      <w:r>
        <w:rPr>
          <w:rStyle w:val="Bodytext2Bold"/>
          <w:rFonts w:ascii="仿宋" w:eastAsia="仿宋" w:hAnsi="仿宋" w:cs="仿宋" w:hint="eastAsia"/>
          <w:sz w:val="32"/>
          <w:szCs w:val="32"/>
          <w:lang w:val="en-US"/>
        </w:rPr>
        <w:t>政府办公厅（室）及相关机构事务（款）信访事务（项）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”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2020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年预算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61.6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万元，比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2019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年预算减少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3.3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万元，减少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5.1%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，减少原因主要是退役士官安置再就业人员工资纳入“社会保障和就业支出”科目列支。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  <w:lang w:val="en-US" w:bidi="en-US"/>
        </w:rPr>
        <w:t xml:space="preserve">2. 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“社会保障和就业支出（类）行政事业单位离退休（款）机关事业单位基本养老保险缴费支出（项）”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4.8</w:t>
      </w:r>
      <w:r>
        <w:rPr>
          <w:rFonts w:ascii="仿宋" w:eastAsia="仿宋" w:hAnsi="仿宋" w:cs="仿宋" w:hint="eastAsia"/>
          <w:sz w:val="32"/>
          <w:szCs w:val="32"/>
        </w:rPr>
        <w:t>万元，比</w:t>
      </w:r>
      <w:r>
        <w:rPr>
          <w:rFonts w:ascii="仿宋" w:eastAsia="仿宋" w:hAnsi="仿宋" w:cs="仿宋" w:hint="eastAsia"/>
          <w:sz w:val="32"/>
          <w:szCs w:val="32"/>
        </w:rPr>
        <w:t>201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</w:t>
      </w:r>
      <w:r>
        <w:rPr>
          <w:rFonts w:ascii="仿宋" w:eastAsia="仿宋" w:hAnsi="仿宋" w:cs="仿宋" w:hint="eastAsia"/>
          <w:sz w:val="32"/>
          <w:szCs w:val="32"/>
        </w:rPr>
        <w:t>年预算</w:t>
      </w:r>
      <w:r>
        <w:rPr>
          <w:rFonts w:ascii="仿宋" w:eastAsia="仿宋" w:hAnsi="仿宋" w:cs="仿宋" w:hint="eastAsia"/>
          <w:sz w:val="32"/>
          <w:szCs w:val="32"/>
        </w:rPr>
        <w:t>减少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0.2</w:t>
      </w:r>
      <w:r>
        <w:rPr>
          <w:rFonts w:ascii="仿宋" w:eastAsia="仿宋" w:hAnsi="仿宋" w:cs="仿宋" w:hint="eastAsia"/>
          <w:sz w:val="32"/>
          <w:szCs w:val="32"/>
        </w:rPr>
        <w:t>万元，</w:t>
      </w:r>
      <w:r>
        <w:rPr>
          <w:rFonts w:ascii="仿宋" w:eastAsia="仿宋" w:hAnsi="仿宋" w:cs="仿宋" w:hint="eastAsia"/>
          <w:sz w:val="32"/>
          <w:szCs w:val="32"/>
        </w:rPr>
        <w:t>下降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4%</w:t>
      </w:r>
      <w:r>
        <w:rPr>
          <w:rFonts w:ascii="仿宋" w:eastAsia="仿宋" w:hAnsi="仿宋" w:cs="仿宋" w:hint="eastAsia"/>
          <w:sz w:val="32"/>
          <w:szCs w:val="32"/>
        </w:rPr>
        <w:t>%,</w:t>
      </w:r>
      <w:r>
        <w:rPr>
          <w:rFonts w:ascii="仿宋" w:eastAsia="仿宋" w:hAnsi="仿宋" w:cs="仿宋" w:hint="eastAsia"/>
          <w:sz w:val="32"/>
          <w:szCs w:val="32"/>
        </w:rPr>
        <w:t>下降</w:t>
      </w:r>
      <w:r>
        <w:rPr>
          <w:rFonts w:ascii="仿宋" w:eastAsia="仿宋" w:hAnsi="仿宋" w:cs="仿宋" w:hint="eastAsia"/>
          <w:sz w:val="32"/>
          <w:szCs w:val="32"/>
        </w:rPr>
        <w:t>原因主要是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年按照政策要求，降低了机关事业单位基本养老保险单位缴费比例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b/>
          <w:bCs/>
          <w:sz w:val="32"/>
          <w:szCs w:val="32"/>
          <w:lang w:val="en-US"/>
        </w:rPr>
        <w:t>3</w:t>
      </w:r>
      <w:r>
        <w:rPr>
          <w:rStyle w:val="Bodytext2Bold"/>
          <w:rFonts w:ascii="仿宋" w:eastAsia="仿宋" w:hAnsi="仿宋" w:cs="仿宋" w:hint="eastAsia"/>
          <w:sz w:val="32"/>
          <w:szCs w:val="32"/>
          <w:lang w:val="en-US" w:bidi="en-US"/>
        </w:rPr>
        <w:t xml:space="preserve"> 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“社会保障和就业支出（类）退役安置（款）退役士兵安置（项）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2020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年预算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4.7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万元，比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2019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年预算增加了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4.7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万元，增长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100%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，增长原因主要是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2019</w:t>
      </w:r>
      <w:r>
        <w:rPr>
          <w:rStyle w:val="Bodytext2Bold"/>
          <w:rFonts w:ascii="仿宋" w:eastAsia="仿宋" w:hAnsi="仿宋" w:cs="仿宋" w:hint="eastAsia"/>
          <w:b w:val="0"/>
          <w:bCs w:val="0"/>
          <w:sz w:val="32"/>
          <w:szCs w:val="32"/>
          <w:lang w:val="en-US"/>
        </w:rPr>
        <w:t>年退役士兵人员工资纳入“信访事务”科目列支。</w:t>
      </w:r>
    </w:p>
    <w:p w:rsidR="00DA5E49" w:rsidRDefault="00F87592" w:rsidP="00F87592">
      <w:pPr>
        <w:pStyle w:val="Bodytext20"/>
        <w:shd w:val="clear" w:color="auto" w:fill="auto"/>
        <w:tabs>
          <w:tab w:val="left" w:pos="1107"/>
        </w:tabs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  <w:lang w:val="en-US"/>
        </w:rPr>
        <w:t>4.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“卫生健康支出（类）行政事业单位医疗（款）行政单位医疗（项）</w:t>
      </w:r>
      <w:r>
        <w:rPr>
          <w:rFonts w:ascii="仿宋" w:eastAsia="仿宋" w:hAnsi="仿宋" w:cs="仿宋" w:hint="eastAsia"/>
          <w:sz w:val="32"/>
          <w:szCs w:val="32"/>
        </w:rPr>
        <w:t>”</w:t>
      </w:r>
      <w:r>
        <w:rPr>
          <w:rFonts w:ascii="仿宋" w:eastAsia="仿宋" w:hAnsi="仿宋" w:cs="仿宋" w:hint="eastAsia"/>
          <w:sz w:val="32"/>
          <w:szCs w:val="32"/>
        </w:rPr>
        <w:t xml:space="preserve"> 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年预算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2.1</w:t>
      </w:r>
      <w:r>
        <w:rPr>
          <w:rFonts w:ascii="仿宋" w:eastAsia="仿宋" w:hAnsi="仿宋" w:cs="仿宋" w:hint="eastAsia"/>
          <w:sz w:val="32"/>
          <w:szCs w:val="32"/>
        </w:rPr>
        <w:t>万元，比</w:t>
      </w:r>
      <w:r>
        <w:rPr>
          <w:rFonts w:ascii="仿宋" w:eastAsia="仿宋" w:hAnsi="仿宋" w:cs="仿宋" w:hint="eastAsia"/>
          <w:sz w:val="32"/>
          <w:szCs w:val="32"/>
        </w:rPr>
        <w:t>201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</w:t>
      </w:r>
      <w:r>
        <w:rPr>
          <w:rFonts w:ascii="仿宋" w:eastAsia="仿宋" w:hAnsi="仿宋" w:cs="仿宋" w:hint="eastAsia"/>
          <w:sz w:val="32"/>
          <w:szCs w:val="32"/>
        </w:rPr>
        <w:t>年预算增加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0.5</w:t>
      </w:r>
      <w:r>
        <w:rPr>
          <w:rFonts w:ascii="仿宋" w:eastAsia="仿宋" w:hAnsi="仿宋" w:cs="仿宋" w:hint="eastAsia"/>
          <w:sz w:val="32"/>
          <w:szCs w:val="32"/>
        </w:rPr>
        <w:t>万元，增长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31</w:t>
      </w:r>
      <w:r>
        <w:rPr>
          <w:rFonts w:ascii="仿宋" w:eastAsia="仿宋" w:hAnsi="仿宋" w:cs="仿宋" w:hint="eastAsia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，增长原因主要是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工资正常晋升</w:t>
      </w:r>
      <w:r>
        <w:rPr>
          <w:rFonts w:ascii="仿宋" w:eastAsia="仿宋" w:hAnsi="仿宋" w:cs="仿宋" w:hint="eastAsia"/>
          <w:sz w:val="32"/>
          <w:szCs w:val="32"/>
        </w:rPr>
        <w:t>医疗保险缴费增加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 w:rsidP="00F87592">
      <w:pPr>
        <w:pStyle w:val="Bodytext20"/>
        <w:shd w:val="clear" w:color="auto" w:fill="auto"/>
        <w:tabs>
          <w:tab w:val="left" w:pos="1107"/>
        </w:tabs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  <w:lang w:val="en-US"/>
        </w:rPr>
        <w:t>5.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“住房保障支出（类）住房改革支出（款）住房公积金（项）”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3.6</w:t>
      </w:r>
      <w:r>
        <w:rPr>
          <w:rFonts w:ascii="仿宋" w:eastAsia="仿宋" w:hAnsi="仿宋" w:cs="仿宋" w:hint="eastAsia"/>
          <w:sz w:val="32"/>
          <w:szCs w:val="32"/>
        </w:rPr>
        <w:t>万元，比</w:t>
      </w:r>
      <w:r>
        <w:rPr>
          <w:rFonts w:ascii="仿宋" w:eastAsia="仿宋" w:hAnsi="仿宋" w:cs="仿宋" w:hint="eastAsia"/>
          <w:sz w:val="32"/>
          <w:szCs w:val="32"/>
        </w:rPr>
        <w:t>201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</w:t>
      </w:r>
      <w:r>
        <w:rPr>
          <w:rFonts w:ascii="仿宋" w:eastAsia="仿宋" w:hAnsi="仿宋" w:cs="仿宋" w:hint="eastAsia"/>
          <w:sz w:val="32"/>
          <w:szCs w:val="32"/>
        </w:rPr>
        <w:t>年预算增加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0.6</w:t>
      </w:r>
      <w:r>
        <w:rPr>
          <w:rFonts w:ascii="仿宋" w:eastAsia="仿宋" w:hAnsi="仿宋" w:cs="仿宋" w:hint="eastAsia"/>
          <w:sz w:val="32"/>
          <w:szCs w:val="32"/>
        </w:rPr>
        <w:t>万元，增长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，增长原因主要是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工资正常晋升，公积金基数上调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 w:rsidP="00F87592">
      <w:pPr>
        <w:pStyle w:val="Bodytext50"/>
        <w:shd w:val="clear" w:color="auto" w:fill="auto"/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三、关于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年一般公共预算基本支出情况说明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年一般公共预算基本支出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48.9</w:t>
      </w:r>
      <w:r>
        <w:rPr>
          <w:rFonts w:ascii="仿宋" w:eastAsia="仿宋" w:hAnsi="仿宋" w:cs="仿宋" w:hint="eastAsia"/>
          <w:sz w:val="32"/>
          <w:szCs w:val="32"/>
        </w:rPr>
        <w:t>万元，其中：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工资福利支出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41.7</w:t>
      </w:r>
      <w:r>
        <w:rPr>
          <w:rFonts w:ascii="仿宋" w:eastAsia="仿宋" w:hAnsi="仿宋" w:cs="仿宋" w:hint="eastAsia"/>
          <w:sz w:val="32"/>
          <w:szCs w:val="32"/>
        </w:rPr>
        <w:t>万元，主要包括：基本工资、津贴补贴、奖金、机关事业单位基本养老保险缴费、职工基本医疗保险缴费、</w:t>
      </w:r>
      <w:r>
        <w:rPr>
          <w:rFonts w:ascii="仿宋" w:eastAsia="仿宋" w:hAnsi="仿宋" w:cs="仿宋" w:hint="eastAsia"/>
          <w:sz w:val="32"/>
          <w:szCs w:val="32"/>
        </w:rPr>
        <w:t>住房公积金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商品和服务支出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6.2</w:t>
      </w:r>
      <w:r>
        <w:rPr>
          <w:rFonts w:ascii="仿宋" w:eastAsia="仿宋" w:hAnsi="仿宋" w:cs="仿宋" w:hint="eastAsia"/>
          <w:sz w:val="32"/>
          <w:szCs w:val="32"/>
        </w:rPr>
        <w:t>万元，主要包括：办公费、</w:t>
      </w:r>
      <w:r>
        <w:rPr>
          <w:rFonts w:ascii="仿宋" w:eastAsia="仿宋" w:hAnsi="仿宋" w:cs="仿宋" w:hint="eastAsia"/>
          <w:sz w:val="32"/>
          <w:szCs w:val="32"/>
        </w:rPr>
        <w:t>电费、</w:t>
      </w:r>
      <w:r>
        <w:rPr>
          <w:rFonts w:ascii="仿宋" w:eastAsia="仿宋" w:hAnsi="仿宋" w:cs="仿宋" w:hint="eastAsia"/>
          <w:sz w:val="32"/>
          <w:szCs w:val="32"/>
        </w:rPr>
        <w:t>邮电费、差旅费</w:t>
      </w:r>
      <w:r>
        <w:rPr>
          <w:rFonts w:ascii="仿宋" w:eastAsia="仿宋" w:hAnsi="仿宋" w:cs="仿宋" w:hint="eastAsia"/>
          <w:sz w:val="32"/>
          <w:szCs w:val="32"/>
        </w:rPr>
        <w:t>、公务接待费</w:t>
      </w:r>
      <w:r>
        <w:rPr>
          <w:rFonts w:ascii="仿宋" w:eastAsia="仿宋" w:hAnsi="仿宋" w:cs="仿宋" w:hint="eastAsia"/>
          <w:sz w:val="32"/>
          <w:szCs w:val="32"/>
        </w:rPr>
        <w:t>、其他交通费用。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</w:rPr>
        <w:t>资本性支出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万元，主要包括办公设备购置。</w:t>
      </w:r>
    </w:p>
    <w:p w:rsidR="00DA5E49" w:rsidRDefault="00F87592" w:rsidP="00F87592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四、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年政府性基金预算拨款情况说明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2020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年，石台县信访局无政府性基金预算拨款收入。</w:t>
      </w:r>
    </w:p>
    <w:p w:rsidR="00DA5E49" w:rsidRDefault="00F87592" w:rsidP="00F87592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五、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年收支预算总体情况说明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按照综合预算管理原则，</w:t>
      </w:r>
      <w:r>
        <w:rPr>
          <w:rFonts w:ascii="仿宋" w:eastAsia="仿宋" w:hAnsi="仿宋" w:cs="仿宋" w:hint="eastAsia"/>
          <w:sz w:val="32"/>
          <w:szCs w:val="32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局所有收入和支出均纳入部门预算管理。</w:t>
      </w:r>
      <w:r>
        <w:rPr>
          <w:rFonts w:ascii="仿宋" w:eastAsia="仿宋" w:hAnsi="仿宋" w:cs="仿宋" w:hint="eastAsia"/>
          <w:sz w:val="32"/>
          <w:szCs w:val="32"/>
        </w:rPr>
        <w:t>石台县信访局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年收支总预算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76.7</w:t>
      </w:r>
      <w:r>
        <w:rPr>
          <w:rFonts w:ascii="仿宋" w:eastAsia="仿宋" w:hAnsi="仿宋" w:cs="仿宋" w:hint="eastAsia"/>
          <w:sz w:val="32"/>
          <w:szCs w:val="32"/>
        </w:rPr>
        <w:t>万元，收入为一般公共预算拨款收入，支出包括：</w:t>
      </w:r>
      <w:r>
        <w:rPr>
          <w:rFonts w:ascii="仿宋" w:eastAsia="仿宋" w:hAnsi="仿宋" w:cs="仿宋" w:hint="eastAsia"/>
          <w:sz w:val="32"/>
          <w:szCs w:val="32"/>
        </w:rPr>
        <w:t>一般公共服务支出、</w:t>
      </w:r>
      <w:r>
        <w:rPr>
          <w:rFonts w:ascii="仿宋" w:eastAsia="仿宋" w:hAnsi="仿宋" w:cs="仿宋" w:hint="eastAsia"/>
          <w:sz w:val="32"/>
          <w:szCs w:val="32"/>
        </w:rPr>
        <w:t>社会保障支出</w:t>
      </w:r>
      <w:r>
        <w:rPr>
          <w:rFonts w:ascii="仿宋" w:eastAsia="仿宋" w:hAnsi="仿宋" w:cs="仿宋" w:hint="eastAsia"/>
          <w:sz w:val="32"/>
          <w:szCs w:val="32"/>
          <w:lang w:val="en-US" w:bidi="en-US"/>
        </w:rPr>
        <w:t>、</w:t>
      </w:r>
      <w:r>
        <w:rPr>
          <w:rFonts w:ascii="仿宋" w:eastAsia="仿宋" w:hAnsi="仿宋" w:cs="仿宋" w:hint="eastAsia"/>
          <w:sz w:val="32"/>
          <w:szCs w:val="32"/>
        </w:rPr>
        <w:t>卫生健康支出</w:t>
      </w:r>
      <w:r>
        <w:rPr>
          <w:rFonts w:ascii="仿宋" w:eastAsia="仿宋" w:hAnsi="仿宋" w:cs="仿宋" w:hint="eastAsia"/>
          <w:sz w:val="32"/>
          <w:szCs w:val="32"/>
        </w:rPr>
        <w:t>、住房保障支出。</w:t>
      </w:r>
    </w:p>
    <w:p w:rsidR="00DA5E49" w:rsidRDefault="00F87592" w:rsidP="00F87592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六、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年收入预算情况说明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年收入预算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76.7</w:t>
      </w:r>
      <w:r>
        <w:rPr>
          <w:rFonts w:ascii="仿宋" w:eastAsia="仿宋" w:hAnsi="仿宋" w:cs="仿宋" w:hint="eastAsia"/>
          <w:sz w:val="32"/>
          <w:szCs w:val="32"/>
        </w:rPr>
        <w:t>万元，其中：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一般公共预算拨款收入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76.7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</w:rPr>
        <w:t>100%</w:t>
      </w:r>
      <w:r>
        <w:rPr>
          <w:rFonts w:ascii="仿宋" w:eastAsia="仿宋" w:hAnsi="仿宋" w:cs="仿宋" w:hint="eastAsia"/>
          <w:sz w:val="32"/>
          <w:szCs w:val="32"/>
        </w:rPr>
        <w:t>，比</w:t>
      </w:r>
      <w:r>
        <w:rPr>
          <w:rFonts w:ascii="仿宋" w:eastAsia="仿宋" w:hAnsi="仿宋" w:cs="仿宋" w:hint="eastAsia"/>
          <w:sz w:val="32"/>
          <w:szCs w:val="32"/>
        </w:rPr>
        <w:t>201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</w:t>
      </w:r>
      <w:r>
        <w:rPr>
          <w:rFonts w:ascii="仿宋" w:eastAsia="仿宋" w:hAnsi="仿宋" w:cs="仿宋" w:hint="eastAsia"/>
          <w:sz w:val="32"/>
          <w:szCs w:val="32"/>
        </w:rPr>
        <w:t>年预算增加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2.2</w:t>
      </w:r>
      <w:r>
        <w:rPr>
          <w:rFonts w:ascii="仿宋" w:eastAsia="仿宋" w:hAnsi="仿宋" w:cs="仿宋" w:hint="eastAsia"/>
          <w:sz w:val="32"/>
          <w:szCs w:val="32"/>
        </w:rPr>
        <w:t>万元，增长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3</w:t>
      </w:r>
      <w:r>
        <w:rPr>
          <w:rFonts w:ascii="仿宋" w:eastAsia="仿宋" w:hAnsi="仿宋" w:cs="仿宋" w:hint="eastAsia"/>
          <w:sz w:val="32"/>
          <w:szCs w:val="32"/>
        </w:rPr>
        <w:t>%</w:t>
      </w:r>
      <w:r>
        <w:rPr>
          <w:rFonts w:ascii="仿宋" w:eastAsia="仿宋" w:hAnsi="仿宋" w:cs="仿宋" w:hint="eastAsia"/>
          <w:sz w:val="32"/>
          <w:szCs w:val="32"/>
        </w:rPr>
        <w:t>，增长原因主要是</w:t>
      </w:r>
      <w:r>
        <w:rPr>
          <w:rFonts w:ascii="仿宋" w:eastAsia="仿宋" w:hAnsi="仿宋" w:cs="仿宋" w:hint="eastAsia"/>
          <w:sz w:val="32"/>
          <w:szCs w:val="32"/>
        </w:rPr>
        <w:t>工资正常晋升增资。</w:t>
      </w:r>
    </w:p>
    <w:p w:rsidR="00DA5E49" w:rsidRDefault="00F87592" w:rsidP="00F87592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七、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年支出预算情况说明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年支</w:t>
      </w:r>
      <w:r>
        <w:rPr>
          <w:rFonts w:ascii="仿宋" w:eastAsia="仿宋" w:hAnsi="仿宋" w:cs="仿宋" w:hint="eastAsia"/>
          <w:sz w:val="32"/>
          <w:szCs w:val="32"/>
        </w:rPr>
        <w:t>出预算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76.7</w:t>
      </w:r>
      <w:r>
        <w:rPr>
          <w:rFonts w:ascii="仿宋" w:eastAsia="仿宋" w:hAnsi="仿宋" w:cs="仿宋" w:hint="eastAsia"/>
          <w:sz w:val="32"/>
          <w:szCs w:val="32"/>
        </w:rPr>
        <w:t>万元，比</w:t>
      </w:r>
      <w:r>
        <w:rPr>
          <w:rFonts w:ascii="仿宋" w:eastAsia="仿宋" w:hAnsi="仿宋" w:cs="仿宋" w:hint="eastAsia"/>
          <w:sz w:val="32"/>
          <w:szCs w:val="32"/>
        </w:rPr>
        <w:t>201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9</w:t>
      </w:r>
      <w:r>
        <w:rPr>
          <w:rFonts w:ascii="仿宋" w:eastAsia="仿宋" w:hAnsi="仿宋" w:cs="仿宋" w:hint="eastAsia"/>
          <w:sz w:val="32"/>
          <w:szCs w:val="32"/>
        </w:rPr>
        <w:t>年预算增加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2.2</w:t>
      </w:r>
      <w:r>
        <w:rPr>
          <w:rFonts w:ascii="仿宋" w:eastAsia="仿宋" w:hAnsi="仿宋" w:cs="仿宋" w:hint="eastAsia"/>
          <w:sz w:val="32"/>
          <w:szCs w:val="32"/>
        </w:rPr>
        <w:t>万元，增长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3</w:t>
      </w:r>
      <w:r>
        <w:rPr>
          <w:rFonts w:ascii="仿宋" w:eastAsia="仿宋" w:hAnsi="仿宋" w:cs="仿宋" w:hint="eastAsia"/>
          <w:sz w:val="32"/>
          <w:szCs w:val="32"/>
        </w:rPr>
        <w:t>%,</w:t>
      </w:r>
      <w:r>
        <w:rPr>
          <w:rFonts w:ascii="仿宋" w:eastAsia="仿宋" w:hAnsi="仿宋" w:cs="仿宋" w:hint="eastAsia"/>
          <w:sz w:val="32"/>
          <w:szCs w:val="32"/>
        </w:rPr>
        <w:t>增长原因主要是</w:t>
      </w:r>
      <w:r>
        <w:rPr>
          <w:rFonts w:ascii="仿宋" w:eastAsia="仿宋" w:hAnsi="仿宋" w:cs="仿宋" w:hint="eastAsia"/>
          <w:sz w:val="32"/>
          <w:szCs w:val="32"/>
        </w:rPr>
        <w:t>工资正常晋升增资</w:t>
      </w:r>
      <w:r>
        <w:rPr>
          <w:rFonts w:ascii="仿宋" w:eastAsia="仿宋" w:hAnsi="仿宋" w:cs="仿宋" w:hint="eastAsia"/>
          <w:sz w:val="32"/>
          <w:szCs w:val="32"/>
        </w:rPr>
        <w:t>。其中，基本支出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48.9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64</w:t>
      </w:r>
      <w:r>
        <w:rPr>
          <w:rFonts w:ascii="仿宋" w:eastAsia="仿宋" w:hAnsi="仿宋" w:cs="仿宋" w:hint="eastAsia"/>
          <w:sz w:val="32"/>
          <w:szCs w:val="32"/>
        </w:rPr>
        <w:t>%,</w:t>
      </w:r>
      <w:r>
        <w:rPr>
          <w:rFonts w:ascii="仿宋" w:eastAsia="仿宋" w:hAnsi="仿宋" w:cs="仿宋" w:hint="eastAsia"/>
          <w:sz w:val="32"/>
          <w:szCs w:val="32"/>
        </w:rPr>
        <w:t>主要用于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基本工资、津贴补贴、住房公积金、机关事业单位基本要老保险缴费支出、城镇职工基本医疗保险缴费等</w:t>
      </w:r>
      <w:r>
        <w:rPr>
          <w:rFonts w:ascii="仿宋" w:eastAsia="仿宋" w:hAnsi="仿宋" w:cs="仿宋" w:hint="eastAsia"/>
          <w:sz w:val="32"/>
          <w:szCs w:val="32"/>
        </w:rPr>
        <w:t>；项目支出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27.8</w:t>
      </w:r>
      <w:r>
        <w:rPr>
          <w:rFonts w:ascii="仿宋" w:eastAsia="仿宋" w:hAnsi="仿宋" w:cs="仿宋" w:hint="eastAsia"/>
          <w:sz w:val="32"/>
          <w:szCs w:val="32"/>
        </w:rPr>
        <w:t>万元，占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36</w:t>
      </w:r>
      <w:r>
        <w:rPr>
          <w:rFonts w:ascii="仿宋" w:eastAsia="仿宋" w:hAnsi="仿宋" w:cs="仿宋" w:hint="eastAsia"/>
          <w:sz w:val="32"/>
          <w:szCs w:val="32"/>
        </w:rPr>
        <w:t>%,</w:t>
      </w:r>
      <w:r>
        <w:rPr>
          <w:rFonts w:ascii="仿宋" w:eastAsia="仿宋" w:hAnsi="仿宋" w:cs="仿宋" w:hint="eastAsia"/>
          <w:sz w:val="32"/>
          <w:szCs w:val="32"/>
        </w:rPr>
        <w:t>主要用于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办公经费、群众工作经费支出、接访经费、退役士兵安置再就业经费等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 w:rsidP="00F87592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八、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关于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年国有资本经营预算拨款情况说明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年没有国有资本经营预算拨款收入，也没有使用国有资本经营预算拨款安排的支出。</w:t>
      </w:r>
    </w:p>
    <w:p w:rsidR="00DA5E49" w:rsidRDefault="00F87592" w:rsidP="00F87592">
      <w:pPr>
        <w:pStyle w:val="Bodytext20"/>
        <w:numPr>
          <w:ilvl w:val="0"/>
          <w:numId w:val="4"/>
        </w:numPr>
        <w:shd w:val="clear" w:color="auto" w:fill="auto"/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项目绩效目标设置情况说明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，石台县信访局没有批复的绩效目标及项目设置。</w:t>
      </w:r>
    </w:p>
    <w:p w:rsidR="00DA5E49" w:rsidRDefault="00F87592" w:rsidP="00F87592">
      <w:pPr>
        <w:pStyle w:val="Bodytext50"/>
        <w:shd w:val="clear" w:color="auto" w:fill="auto"/>
        <w:tabs>
          <w:tab w:val="left" w:pos="1316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十、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其他重要事项情况说明</w:t>
      </w:r>
    </w:p>
    <w:p w:rsidR="00DA5E49" w:rsidRDefault="00F87592" w:rsidP="00F87592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（一）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机关运行经费。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年机关运行经费财政拨款预算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6.2</w:t>
      </w:r>
      <w:r>
        <w:rPr>
          <w:rFonts w:ascii="仿宋" w:eastAsia="仿宋" w:hAnsi="仿宋" w:cs="仿宋" w:hint="eastAsia"/>
          <w:sz w:val="32"/>
          <w:szCs w:val="32"/>
        </w:rPr>
        <w:t>万元，主要用于</w:t>
      </w:r>
      <w:r>
        <w:rPr>
          <w:rFonts w:ascii="仿宋" w:eastAsia="仿宋" w:hAnsi="仿宋" w:cs="仿宋" w:hint="eastAsia"/>
          <w:sz w:val="32"/>
          <w:szCs w:val="32"/>
        </w:rPr>
        <w:t>单位</w:t>
      </w:r>
      <w:r>
        <w:rPr>
          <w:rFonts w:ascii="仿宋" w:eastAsia="仿宋" w:hAnsi="仿宋" w:cs="仿宋" w:hint="eastAsia"/>
          <w:sz w:val="32"/>
          <w:szCs w:val="32"/>
        </w:rPr>
        <w:t>办公费、</w:t>
      </w:r>
      <w:r>
        <w:rPr>
          <w:rFonts w:ascii="仿宋" w:eastAsia="仿宋" w:hAnsi="仿宋" w:cs="仿宋" w:hint="eastAsia"/>
          <w:sz w:val="32"/>
          <w:szCs w:val="32"/>
        </w:rPr>
        <w:t>电费、</w:t>
      </w:r>
      <w:r>
        <w:rPr>
          <w:rFonts w:ascii="仿宋" w:eastAsia="仿宋" w:hAnsi="仿宋" w:cs="仿宋" w:hint="eastAsia"/>
          <w:sz w:val="32"/>
          <w:szCs w:val="32"/>
        </w:rPr>
        <w:t>邮电费、差旅费</w:t>
      </w:r>
      <w:r>
        <w:rPr>
          <w:rFonts w:ascii="仿宋" w:eastAsia="仿宋" w:hAnsi="仿宋" w:cs="仿宋" w:hint="eastAsia"/>
          <w:sz w:val="32"/>
          <w:szCs w:val="32"/>
        </w:rPr>
        <w:t>、公务接待费</w:t>
      </w:r>
      <w:r>
        <w:rPr>
          <w:rFonts w:ascii="仿宋" w:eastAsia="仿宋" w:hAnsi="仿宋" w:cs="仿宋" w:hint="eastAsia"/>
          <w:sz w:val="32"/>
          <w:szCs w:val="32"/>
        </w:rPr>
        <w:t>、其他交通费用。</w:t>
      </w:r>
    </w:p>
    <w:p w:rsidR="00DA5E49" w:rsidRDefault="00F87592" w:rsidP="00F87592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（二）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政府采购情况。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年政府采购预算总额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万元。其中：政府采购货物预算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万元</w:t>
      </w:r>
      <w:r>
        <w:rPr>
          <w:rFonts w:ascii="仿宋" w:eastAsia="仿宋" w:hAnsi="仿宋" w:cs="仿宋" w:hint="eastAsia"/>
          <w:sz w:val="32"/>
          <w:szCs w:val="32"/>
        </w:rPr>
        <w:t>，无政府采购服务预算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 w:rsidP="00F87592">
      <w:pPr>
        <w:pStyle w:val="Bodytext50"/>
        <w:shd w:val="clear" w:color="auto" w:fill="auto"/>
        <w:tabs>
          <w:tab w:val="left" w:pos="1673"/>
        </w:tabs>
        <w:spacing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（三）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>国有资产占用使用情况。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石台县信访</w:t>
      </w:r>
      <w:r>
        <w:rPr>
          <w:rFonts w:ascii="仿宋" w:eastAsia="仿宋" w:hAnsi="仿宋" w:cs="仿宋" w:hint="eastAsia"/>
          <w:sz w:val="32"/>
          <w:szCs w:val="32"/>
        </w:rPr>
        <w:t>局有公务用车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辆</w:t>
      </w:r>
      <w:r>
        <w:rPr>
          <w:rFonts w:ascii="仿宋" w:eastAsia="仿宋" w:hAnsi="仿宋" w:cs="仿宋" w:hint="eastAsia"/>
          <w:sz w:val="32"/>
          <w:szCs w:val="32"/>
        </w:rPr>
        <w:t>，单位价值</w:t>
      </w:r>
      <w:r>
        <w:rPr>
          <w:rFonts w:ascii="仿宋" w:eastAsia="仿宋" w:hAnsi="仿宋" w:cs="仿宋" w:hint="eastAsia"/>
          <w:sz w:val="32"/>
          <w:szCs w:val="32"/>
        </w:rPr>
        <w:t>50</w:t>
      </w:r>
      <w:r>
        <w:rPr>
          <w:rFonts w:ascii="仿宋" w:eastAsia="仿宋" w:hAnsi="仿宋" w:cs="仿宋" w:hint="eastAsia"/>
          <w:sz w:val="32"/>
          <w:szCs w:val="32"/>
        </w:rPr>
        <w:t>万元以上的通用设备单位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个，</w:t>
      </w:r>
      <w:r>
        <w:rPr>
          <w:rFonts w:ascii="仿宋" w:eastAsia="仿宋" w:hAnsi="仿宋" w:cs="仿宋" w:hint="eastAsia"/>
          <w:sz w:val="32"/>
          <w:szCs w:val="32"/>
        </w:rPr>
        <w:t>价值</w:t>
      </w:r>
      <w:r>
        <w:rPr>
          <w:rFonts w:ascii="仿宋" w:eastAsia="仿宋" w:hAnsi="仿宋" w:cs="仿宋" w:hint="eastAsia"/>
          <w:sz w:val="32"/>
          <w:szCs w:val="32"/>
        </w:rPr>
        <w:t>100</w:t>
      </w:r>
      <w:r>
        <w:rPr>
          <w:rFonts w:ascii="仿宋" w:eastAsia="仿宋" w:hAnsi="仿宋" w:cs="仿宋" w:hint="eastAsia"/>
          <w:sz w:val="32"/>
          <w:szCs w:val="32"/>
        </w:rPr>
        <w:t>万元以上的专用设备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个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 w:rsidP="00F87592">
      <w:pPr>
        <w:pStyle w:val="Bodytext20"/>
        <w:shd w:val="clear" w:color="auto" w:fill="auto"/>
        <w:spacing w:before="0" w:after="0" w:line="360" w:lineRule="auto"/>
        <w:ind w:firstLineChars="200" w:firstLine="700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年部门预算安排公务用车购置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万元，购置公务用车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辆</w:t>
      </w:r>
      <w:r>
        <w:rPr>
          <w:rFonts w:ascii="仿宋" w:eastAsia="仿宋" w:hAnsi="仿宋" w:cs="仿宋" w:hint="eastAsia"/>
          <w:sz w:val="32"/>
          <w:szCs w:val="32"/>
        </w:rPr>
        <w:t>，安排购置单位价值</w:t>
      </w:r>
      <w:r>
        <w:rPr>
          <w:rFonts w:ascii="仿宋" w:eastAsia="仿宋" w:hAnsi="仿宋" w:cs="仿宋" w:hint="eastAsia"/>
          <w:sz w:val="32"/>
          <w:szCs w:val="32"/>
        </w:rPr>
        <w:t>50</w:t>
      </w:r>
      <w:r>
        <w:rPr>
          <w:rFonts w:ascii="仿宋" w:eastAsia="仿宋" w:hAnsi="仿宋" w:cs="仿宋" w:hint="eastAsia"/>
          <w:sz w:val="32"/>
          <w:szCs w:val="32"/>
        </w:rPr>
        <w:t>万元以上的通用设备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个，安排购置</w:t>
      </w:r>
      <w:r>
        <w:rPr>
          <w:rFonts w:ascii="仿宋" w:eastAsia="仿宋" w:hAnsi="仿宋" w:cs="仿宋" w:hint="eastAsia"/>
          <w:sz w:val="32"/>
          <w:szCs w:val="32"/>
        </w:rPr>
        <w:t>单位价值</w:t>
      </w:r>
      <w:r>
        <w:rPr>
          <w:rFonts w:ascii="仿宋" w:eastAsia="仿宋" w:hAnsi="仿宋" w:cs="仿宋" w:hint="eastAsia"/>
          <w:sz w:val="32"/>
          <w:szCs w:val="32"/>
        </w:rPr>
        <w:t>100</w:t>
      </w:r>
      <w:r>
        <w:rPr>
          <w:rFonts w:ascii="仿宋" w:eastAsia="仿宋" w:hAnsi="仿宋" w:cs="仿宋" w:hint="eastAsia"/>
          <w:sz w:val="32"/>
          <w:szCs w:val="32"/>
        </w:rPr>
        <w:t>万元以上专用设备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个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:rsidR="00DA5E49" w:rsidRDefault="00F87592" w:rsidP="00F87592">
      <w:pPr>
        <w:pStyle w:val="Bodytext60"/>
        <w:shd w:val="clear" w:color="auto" w:fill="auto"/>
        <w:spacing w:after="0" w:line="360" w:lineRule="auto"/>
        <w:ind w:firstLineChars="200" w:firstLine="703"/>
        <w:rPr>
          <w:rFonts w:ascii="仿宋" w:eastAsia="仿宋" w:hAnsi="仿宋" w:cs="仿宋"/>
          <w:b/>
          <w:bCs/>
        </w:rPr>
      </w:pPr>
      <w:r>
        <w:rPr>
          <w:rFonts w:ascii="仿宋" w:eastAsia="仿宋" w:hAnsi="仿宋" w:cs="仿宋" w:hint="eastAsia"/>
          <w:b/>
          <w:bCs/>
        </w:rPr>
        <w:t>第三部分</w:t>
      </w:r>
      <w:r>
        <w:rPr>
          <w:rFonts w:ascii="仿宋" w:eastAsia="仿宋" w:hAnsi="仿宋" w:cs="仿宋" w:hint="eastAsia"/>
          <w:b/>
          <w:bCs/>
          <w:lang w:val="en-US"/>
        </w:rPr>
        <w:t xml:space="preserve"> </w:t>
      </w:r>
      <w:r>
        <w:rPr>
          <w:rFonts w:ascii="仿宋" w:eastAsia="仿宋" w:hAnsi="仿宋" w:cs="仿宋" w:hint="eastAsia"/>
          <w:b/>
          <w:bCs/>
        </w:rPr>
        <w:t>名词解释</w:t>
      </w:r>
    </w:p>
    <w:p w:rsidR="00DA5E49" w:rsidRDefault="00F87592" w:rsidP="00F87592">
      <w:pPr>
        <w:pStyle w:val="Bodytext20"/>
        <w:shd w:val="clear" w:color="auto" w:fill="auto"/>
        <w:tabs>
          <w:tab w:val="left" w:pos="1279"/>
        </w:tabs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一、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财政拨款收入：</w:t>
      </w:r>
      <w:r>
        <w:rPr>
          <w:rFonts w:ascii="仿宋" w:eastAsia="仿宋" w:hAnsi="仿宋" w:cs="仿宋" w:hint="eastAsia"/>
          <w:sz w:val="32"/>
          <w:szCs w:val="32"/>
        </w:rPr>
        <w:t>指</w:t>
      </w:r>
      <w:r>
        <w:rPr>
          <w:rFonts w:ascii="仿宋" w:eastAsia="仿宋" w:hAnsi="仿宋" w:cs="仿宋" w:hint="eastAsia"/>
          <w:sz w:val="32"/>
          <w:szCs w:val="32"/>
        </w:rPr>
        <w:t>县</w:t>
      </w:r>
      <w:r>
        <w:rPr>
          <w:rFonts w:ascii="仿宋" w:eastAsia="仿宋" w:hAnsi="仿宋" w:cs="仿宋" w:hint="eastAsia"/>
          <w:sz w:val="32"/>
          <w:szCs w:val="32"/>
        </w:rPr>
        <w:t>财政当年拨付的资金，主要包括一般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公共预算拨款收入和政府性基金拨款收入。</w:t>
      </w:r>
    </w:p>
    <w:p w:rsidR="00DA5E49" w:rsidRDefault="00F87592" w:rsidP="00F87592">
      <w:pPr>
        <w:pStyle w:val="Bodytext20"/>
        <w:shd w:val="clear" w:color="auto" w:fill="auto"/>
        <w:tabs>
          <w:tab w:val="left" w:pos="1279"/>
        </w:tabs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二、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基本支出：</w:t>
      </w:r>
      <w:r>
        <w:rPr>
          <w:rFonts w:ascii="仿宋" w:eastAsia="仿宋" w:hAnsi="仿宋" w:cs="仿宋" w:hint="eastAsia"/>
          <w:sz w:val="32"/>
          <w:szCs w:val="32"/>
        </w:rPr>
        <w:t>指为保障机构正常运转、完成日常工作任务而发生的人员支出和公用支出。</w:t>
      </w:r>
    </w:p>
    <w:p w:rsidR="00DA5E49" w:rsidRDefault="00F87592" w:rsidP="00F87592">
      <w:pPr>
        <w:pStyle w:val="Bodytext20"/>
        <w:shd w:val="clear" w:color="auto" w:fill="auto"/>
        <w:tabs>
          <w:tab w:val="left" w:pos="1279"/>
        </w:tabs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三、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项目支出：</w:t>
      </w:r>
      <w:r>
        <w:rPr>
          <w:rFonts w:ascii="仿宋" w:eastAsia="仿宋" w:hAnsi="仿宋" w:cs="仿宋" w:hint="eastAsia"/>
          <w:sz w:val="32"/>
          <w:szCs w:val="32"/>
        </w:rPr>
        <w:t>指在基本支出之外为完成特定行政任务和事业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发展目标所发生的支出。</w:t>
      </w:r>
    </w:p>
    <w:p w:rsidR="00DA5E49" w:rsidRDefault="00F87592" w:rsidP="00F87592">
      <w:pPr>
        <w:pStyle w:val="Bodytext20"/>
        <w:shd w:val="clear" w:color="auto" w:fill="auto"/>
        <w:tabs>
          <w:tab w:val="left" w:pos="1280"/>
        </w:tabs>
        <w:spacing w:before="0" w:after="0" w:line="360" w:lineRule="auto"/>
        <w:ind w:firstLineChars="200" w:firstLine="703"/>
        <w:jc w:val="both"/>
        <w:rPr>
          <w:rFonts w:ascii="仿宋" w:eastAsia="仿宋" w:hAnsi="仿宋" w:cs="仿宋"/>
          <w:sz w:val="32"/>
          <w:szCs w:val="32"/>
        </w:rPr>
      </w:pPr>
      <w:r>
        <w:rPr>
          <w:rStyle w:val="Bodytext2Bold"/>
          <w:rFonts w:ascii="仿宋" w:eastAsia="仿宋" w:hAnsi="仿宋" w:cs="仿宋" w:hint="eastAsia"/>
          <w:sz w:val="32"/>
          <w:szCs w:val="32"/>
        </w:rPr>
        <w:t>四、</w:t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ab/>
      </w:r>
      <w:r>
        <w:rPr>
          <w:rStyle w:val="Bodytext2Bold"/>
          <w:rFonts w:ascii="仿宋" w:eastAsia="仿宋" w:hAnsi="仿宋" w:cs="仿宋" w:hint="eastAsia"/>
          <w:sz w:val="32"/>
          <w:szCs w:val="32"/>
        </w:rPr>
        <w:t>机关运行经费：</w:t>
      </w:r>
      <w:r>
        <w:rPr>
          <w:rFonts w:ascii="仿宋" w:eastAsia="仿宋" w:hAnsi="仿宋" w:cs="仿宋" w:hint="eastAsia"/>
          <w:sz w:val="32"/>
          <w:szCs w:val="32"/>
        </w:rPr>
        <w:t>指各部门的公用经费，包括办公及印刷费、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邮电费、差旅费、会议费、福利费、日常维修费、专用材料及一般设备购置费、办公用房水电费、办公用房取暖费、办公用房物业管理费、公务用车运行维护费以及其他费用。</w:t>
      </w:r>
    </w:p>
    <w:p w:rsidR="00DA5E49" w:rsidRDefault="00F87592">
      <w:pPr>
        <w:pStyle w:val="Bodytext50"/>
        <w:shd w:val="clear" w:color="auto" w:fill="auto"/>
        <w:spacing w:after="0" w:line="538" w:lineRule="exact"/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第四部分</w:t>
      </w:r>
      <w:r>
        <w:rPr>
          <w:rFonts w:ascii="仿宋" w:eastAsia="仿宋" w:hAnsi="仿宋" w:cs="仿宋" w:hint="eastAsia"/>
          <w:sz w:val="32"/>
          <w:szCs w:val="32"/>
          <w:lang w:val="en-US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年部门预算表（附表）</w:t>
      </w:r>
    </w:p>
    <w:p w:rsidR="00DA5E49" w:rsidRDefault="00F87592">
      <w:pPr>
        <w:pStyle w:val="Bodytext20"/>
        <w:numPr>
          <w:ilvl w:val="0"/>
          <w:numId w:val="5"/>
        </w:numPr>
        <w:shd w:val="clear" w:color="auto" w:fill="auto"/>
        <w:tabs>
          <w:tab w:val="left" w:pos="38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年部门财政拨款收支预算总表</w:t>
      </w:r>
    </w:p>
    <w:p w:rsidR="00DA5E49" w:rsidRDefault="00F87592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年部门一般公共预算支出预算表</w:t>
      </w:r>
    </w:p>
    <w:p w:rsidR="00DA5E49" w:rsidRDefault="00F87592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年部门一般公共预算基本支出预算表</w:t>
      </w:r>
    </w:p>
    <w:p w:rsidR="00DA5E49" w:rsidRDefault="00F87592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年部门政府性基金预算支出预算表</w:t>
      </w:r>
    </w:p>
    <w:p w:rsidR="00DA5E49" w:rsidRDefault="00F87592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年部门收支预算总表</w:t>
      </w:r>
    </w:p>
    <w:p w:rsidR="00DA5E49" w:rsidRDefault="00F87592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年部门收入预算总表</w:t>
      </w:r>
    </w:p>
    <w:p w:rsidR="00DA5E49" w:rsidRDefault="00F87592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</w:rPr>
        <w:t>年部门支出预算总表</w:t>
      </w:r>
    </w:p>
    <w:p w:rsidR="00DA5E49" w:rsidRDefault="00F87592">
      <w:pPr>
        <w:pStyle w:val="Bodytext20"/>
        <w:numPr>
          <w:ilvl w:val="0"/>
          <w:numId w:val="5"/>
        </w:numPr>
        <w:shd w:val="clear" w:color="auto" w:fill="auto"/>
        <w:tabs>
          <w:tab w:val="left" w:pos="411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年部门</w:t>
      </w:r>
      <w:r>
        <w:rPr>
          <w:rFonts w:ascii="仿宋" w:eastAsia="仿宋" w:hAnsi="仿宋" w:cs="仿宋" w:hint="eastAsia"/>
          <w:sz w:val="32"/>
          <w:szCs w:val="32"/>
        </w:rPr>
        <w:t>国有资本经营预算支出预算表</w:t>
      </w:r>
    </w:p>
    <w:p w:rsidR="00DA5E49" w:rsidRDefault="00F87592">
      <w:pPr>
        <w:pStyle w:val="Bodytext20"/>
        <w:numPr>
          <w:ilvl w:val="0"/>
          <w:numId w:val="5"/>
        </w:numPr>
        <w:shd w:val="clear" w:color="auto" w:fill="auto"/>
        <w:tabs>
          <w:tab w:val="left" w:pos="392"/>
        </w:tabs>
        <w:spacing w:before="0" w:after="0" w:line="538" w:lineRule="exact"/>
        <w:ind w:firstLine="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年部门政府采购预算表</w:t>
      </w:r>
    </w:p>
    <w:p w:rsidR="00DA5E49" w:rsidRDefault="00F87592">
      <w:pPr>
        <w:pStyle w:val="Bodytext20"/>
        <w:shd w:val="clear" w:color="auto" w:fill="auto"/>
        <w:tabs>
          <w:tab w:val="left" w:pos="1280"/>
        </w:tabs>
        <w:spacing w:before="0" w:after="0" w:line="360" w:lineRule="auto"/>
        <w:jc w:val="both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  <w:lang w:val="en-US"/>
        </w:rPr>
        <w:t>10.20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20</w:t>
      </w:r>
      <w:r>
        <w:rPr>
          <w:rFonts w:ascii="仿宋" w:eastAsia="仿宋" w:hAnsi="仿宋" w:cs="仿宋" w:hint="eastAsia"/>
          <w:sz w:val="32"/>
          <w:szCs w:val="32"/>
          <w:lang w:val="en-US"/>
        </w:rPr>
        <w:t>年政府购买服务预算表</w:t>
      </w:r>
    </w:p>
    <w:sectPr w:rsidR="00DA5E49" w:rsidSect="00DA5E49">
      <w:headerReference w:type="default" r:id="rId8"/>
      <w:footerReference w:type="even" r:id="rId9"/>
      <w:footerReference w:type="default" r:id="rId10"/>
      <w:pgSz w:w="11900" w:h="16840"/>
      <w:pgMar w:top="1586" w:right="1237" w:bottom="1616" w:left="1198" w:header="0" w:footer="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E49" w:rsidRDefault="00DA5E49"/>
  </w:endnote>
  <w:endnote w:type="continuationSeparator" w:id="0">
    <w:p w:rsidR="00DA5E49" w:rsidRDefault="00F875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E49" w:rsidRDefault="00DA5E49">
    <w:pPr>
      <w:rPr>
        <w:sz w:val="2"/>
        <w:szCs w:val="2"/>
      </w:rPr>
    </w:pPr>
    <w:r w:rsidRPr="00DA5E4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4" type="#_x0000_t202" style="position:absolute;margin-left:288.75pt;margin-top:780.6pt;width:7.45pt;height:6.25pt;z-index:-251658240;mso-wrap-style:none;mso-position-horizontal-relative:page;mso-position-vertical-relative:page;mso-width-relative:page;mso-height-relative:page" filled="f" stroked="f">
          <v:textbox style="mso-fit-shape-to-text:t" inset="0,0,0,0">
            <w:txbxContent>
              <w:p w:rsidR="00DA5E49" w:rsidRDefault="00DA5E49">
                <w:pPr>
                  <w:pStyle w:val="Headerorfooter11"/>
                  <w:shd w:val="clear" w:color="auto" w:fill="auto"/>
                  <w:spacing w:line="240" w:lineRule="auto"/>
                </w:pPr>
                <w:r w:rsidRPr="00DA5E49">
                  <w:fldChar w:fldCharType="begin"/>
                </w:r>
                <w:r w:rsidR="00F87592">
                  <w:instrText xml:space="preserve"> PAGE \* MERGEFORMAT </w:instrText>
                </w:r>
                <w:r w:rsidRPr="00DA5E49">
                  <w:fldChar w:fldCharType="separate"/>
                </w:r>
                <w:r w:rsidR="00F87592">
                  <w:rPr>
                    <w:rStyle w:val="Headerorfooter1TimesNewRoman"/>
                    <w:rFonts w:eastAsia="PMingLiU"/>
                  </w:rPr>
                  <w:t>8</w:t>
                </w:r>
                <w:r>
                  <w:rPr>
                    <w:rStyle w:val="Headerorfooter1TimesNewRoman"/>
                    <w:rFonts w:eastAsia="PMingLiU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E49" w:rsidRDefault="00DA5E49">
    <w:pPr>
      <w:rPr>
        <w:sz w:val="2"/>
        <w:szCs w:val="2"/>
      </w:rPr>
    </w:pPr>
    <w:r w:rsidRPr="00DA5E4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288.75pt;margin-top:780.6pt;width:7.45pt;height:6.25pt;z-index:-251659264;mso-wrap-style:none;mso-position-horizontal-relative:page;mso-position-vertical-relative:page;mso-width-relative:page;mso-height-relative:page" filled="f" stroked="f">
          <v:textbox style="mso-fit-shape-to-text:t" inset="0,0,0,0">
            <w:txbxContent>
              <w:p w:rsidR="00DA5E49" w:rsidRDefault="00DA5E49">
                <w:pPr>
                  <w:pStyle w:val="Headerorfooter11"/>
                  <w:shd w:val="clear" w:color="auto" w:fill="auto"/>
                  <w:spacing w:line="240" w:lineRule="auto"/>
                </w:pPr>
                <w:r w:rsidRPr="00DA5E49">
                  <w:fldChar w:fldCharType="begin"/>
                </w:r>
                <w:r w:rsidR="00F87592">
                  <w:instrText xml:space="preserve"> PAGE \* MERGEFORMAT </w:instrText>
                </w:r>
                <w:r w:rsidRPr="00DA5E49">
                  <w:fldChar w:fldCharType="separate"/>
                </w:r>
                <w:r w:rsidR="00F87592">
                  <w:rPr>
                    <w:rStyle w:val="Headerorfooter1TimesNewRoman"/>
                    <w:rFonts w:eastAsia="PMingLiU"/>
                  </w:rPr>
                  <w:t>7</w:t>
                </w:r>
                <w:r>
                  <w:rPr>
                    <w:rStyle w:val="Headerorfooter1TimesNewRoman"/>
                    <w:rFonts w:eastAsia="PMingLiU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E49" w:rsidRDefault="00DA5E49"/>
  </w:footnote>
  <w:footnote w:type="continuationSeparator" w:id="0">
    <w:p w:rsidR="00DA5E49" w:rsidRDefault="00F875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E49" w:rsidRDefault="00DA5E4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B1E84A9"/>
    <w:multiLevelType w:val="singleLevel"/>
    <w:tmpl w:val="AB1E84A9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CF092B84"/>
    <w:multiLevelType w:val="singleLevel"/>
    <w:tmpl w:val="CF092B84"/>
    <w:lvl w:ilvl="0">
      <w:start w:val="1"/>
      <w:numFmt w:val="decimal"/>
      <w:lvlText w:val="%1."/>
      <w:lvlJc w:val="left"/>
      <w:rPr>
        <w:rFonts w:ascii="PMingLiU" w:eastAsia="PMingLiU" w:hAnsi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2">
    <w:nsid w:val="0053208E"/>
    <w:multiLevelType w:val="singleLevel"/>
    <w:tmpl w:val="0053208E"/>
    <w:lvl w:ilvl="0">
      <w:start w:val="1"/>
      <w:numFmt w:val="decimal"/>
      <w:lvlText w:val="%1."/>
      <w:lvlJc w:val="left"/>
      <w:rPr>
        <w:rFonts w:ascii="PMingLiU" w:eastAsia="PMingLiU" w:hAnsi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3">
    <w:nsid w:val="32E7DDA3"/>
    <w:multiLevelType w:val="singleLevel"/>
    <w:tmpl w:val="32E7DDA3"/>
    <w:lvl w:ilvl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5180FE10"/>
    <w:multiLevelType w:val="singleLevel"/>
    <w:tmpl w:val="5180FE10"/>
    <w:lvl w:ilvl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181"/>
  <w:drawingGridVerticalSpacing w:val="181"/>
  <w:characterSpacingControl w:val="compressPunctuation"/>
  <w:hdrShapeDefaults>
    <o:shapedefaults v:ext="edit" spidmax="4098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3577B"/>
    <w:rsid w:val="00265585"/>
    <w:rsid w:val="002F2597"/>
    <w:rsid w:val="0033577B"/>
    <w:rsid w:val="004F768F"/>
    <w:rsid w:val="00641A63"/>
    <w:rsid w:val="0067705F"/>
    <w:rsid w:val="006B33A9"/>
    <w:rsid w:val="00C25BEF"/>
    <w:rsid w:val="00D6440E"/>
    <w:rsid w:val="00DA5E49"/>
    <w:rsid w:val="00DA621A"/>
    <w:rsid w:val="00F87592"/>
    <w:rsid w:val="00FB3496"/>
    <w:rsid w:val="02431E11"/>
    <w:rsid w:val="03334F45"/>
    <w:rsid w:val="043E2F4A"/>
    <w:rsid w:val="074910A2"/>
    <w:rsid w:val="0785427E"/>
    <w:rsid w:val="0D1A45DD"/>
    <w:rsid w:val="0D8574D2"/>
    <w:rsid w:val="13E32373"/>
    <w:rsid w:val="14C73A35"/>
    <w:rsid w:val="14F04E9F"/>
    <w:rsid w:val="1C8D24DC"/>
    <w:rsid w:val="1D4A2712"/>
    <w:rsid w:val="1DDE2AFD"/>
    <w:rsid w:val="1F2D795C"/>
    <w:rsid w:val="21071CD9"/>
    <w:rsid w:val="24187DF0"/>
    <w:rsid w:val="2494418F"/>
    <w:rsid w:val="24E877DF"/>
    <w:rsid w:val="250E3D3B"/>
    <w:rsid w:val="265042E5"/>
    <w:rsid w:val="276B45D1"/>
    <w:rsid w:val="28265DC8"/>
    <w:rsid w:val="283233E6"/>
    <w:rsid w:val="299D31EA"/>
    <w:rsid w:val="2C7C38A6"/>
    <w:rsid w:val="2EDA3662"/>
    <w:rsid w:val="2F142897"/>
    <w:rsid w:val="2F3D0F23"/>
    <w:rsid w:val="2FC8303B"/>
    <w:rsid w:val="332C6584"/>
    <w:rsid w:val="36344243"/>
    <w:rsid w:val="36F23E90"/>
    <w:rsid w:val="3C597A01"/>
    <w:rsid w:val="3D7A4687"/>
    <w:rsid w:val="3D81035B"/>
    <w:rsid w:val="3EA87366"/>
    <w:rsid w:val="405B5988"/>
    <w:rsid w:val="430000D7"/>
    <w:rsid w:val="460354CB"/>
    <w:rsid w:val="48105303"/>
    <w:rsid w:val="48820020"/>
    <w:rsid w:val="4A972C95"/>
    <w:rsid w:val="4AA81C1E"/>
    <w:rsid w:val="4AC75B2F"/>
    <w:rsid w:val="4B894EB0"/>
    <w:rsid w:val="4E24045A"/>
    <w:rsid w:val="4E935B51"/>
    <w:rsid w:val="502F0094"/>
    <w:rsid w:val="50E907FF"/>
    <w:rsid w:val="54986B17"/>
    <w:rsid w:val="5AEC5011"/>
    <w:rsid w:val="5BCE528C"/>
    <w:rsid w:val="62A45082"/>
    <w:rsid w:val="6368771C"/>
    <w:rsid w:val="65AB4EAB"/>
    <w:rsid w:val="673D6FD7"/>
    <w:rsid w:val="6A6261E0"/>
    <w:rsid w:val="6C890CDF"/>
    <w:rsid w:val="6EC55030"/>
    <w:rsid w:val="6FA1255B"/>
    <w:rsid w:val="79C53304"/>
    <w:rsid w:val="7AB86BD0"/>
    <w:rsid w:val="7D8D0811"/>
    <w:rsid w:val="7F583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4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DA5E49"/>
    <w:pPr>
      <w:widowControl w:val="0"/>
    </w:pPr>
    <w:rPr>
      <w:rFonts w:eastAsia="Times New Roman"/>
      <w:color w:val="000000"/>
      <w:sz w:val="24"/>
      <w:szCs w:val="24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|3_"/>
    <w:basedOn w:val="a0"/>
    <w:link w:val="Bodytext30"/>
    <w:qFormat/>
    <w:rsid w:val="00DA5E49"/>
    <w:rPr>
      <w:rFonts w:ascii="PMingLiU" w:eastAsia="PMingLiU" w:hAnsi="PMingLiU" w:cs="PMingLiU"/>
      <w:sz w:val="52"/>
      <w:szCs w:val="52"/>
      <w:u w:val="none"/>
    </w:rPr>
  </w:style>
  <w:style w:type="paragraph" w:customStyle="1" w:styleId="Bodytext30">
    <w:name w:val="Body text|3"/>
    <w:basedOn w:val="a"/>
    <w:link w:val="Bodytext3"/>
    <w:qFormat/>
    <w:rsid w:val="00DA5E49"/>
    <w:pPr>
      <w:shd w:val="clear" w:color="auto" w:fill="FFFFFF"/>
      <w:spacing w:after="5400" w:line="1133" w:lineRule="exact"/>
      <w:jc w:val="center"/>
    </w:pPr>
    <w:rPr>
      <w:rFonts w:ascii="PMingLiU" w:eastAsia="PMingLiU" w:hAnsi="PMingLiU" w:cs="PMingLiU"/>
      <w:sz w:val="52"/>
      <w:szCs w:val="52"/>
    </w:rPr>
  </w:style>
  <w:style w:type="character" w:customStyle="1" w:styleId="Bodytext3TimesNewRoman">
    <w:name w:val="Body text|3 + Times New Roman"/>
    <w:basedOn w:val="Bodytext3"/>
    <w:semiHidden/>
    <w:unhideWhenUsed/>
    <w:qFormat/>
    <w:rsid w:val="00DA5E4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 w:bidi="zh-CN"/>
    </w:rPr>
  </w:style>
  <w:style w:type="character" w:customStyle="1" w:styleId="Bodytext4">
    <w:name w:val="Body text|4_"/>
    <w:basedOn w:val="a0"/>
    <w:link w:val="Bodytext40"/>
    <w:qFormat/>
    <w:rsid w:val="00DA5E49"/>
    <w:rPr>
      <w:rFonts w:ascii="PMingLiU" w:eastAsia="PMingLiU" w:hAnsi="PMingLiU" w:cs="PMingLiU"/>
      <w:sz w:val="36"/>
      <w:szCs w:val="36"/>
      <w:u w:val="none"/>
    </w:rPr>
  </w:style>
  <w:style w:type="paragraph" w:customStyle="1" w:styleId="Bodytext40">
    <w:name w:val="Body text|4"/>
    <w:basedOn w:val="a"/>
    <w:link w:val="Bodytext4"/>
    <w:qFormat/>
    <w:rsid w:val="00DA5E49"/>
    <w:pPr>
      <w:shd w:val="clear" w:color="auto" w:fill="FFFFFF"/>
      <w:spacing w:before="5400" w:line="360" w:lineRule="exact"/>
    </w:pPr>
    <w:rPr>
      <w:rFonts w:ascii="PMingLiU" w:eastAsia="PMingLiU" w:hAnsi="PMingLiU" w:cs="PMingLiU"/>
      <w:sz w:val="36"/>
      <w:szCs w:val="36"/>
    </w:rPr>
  </w:style>
  <w:style w:type="character" w:customStyle="1" w:styleId="Bodytext4Spacing4pt">
    <w:name w:val="Body text|4 + Spacing 4 pt"/>
    <w:basedOn w:val="Bodytext4"/>
    <w:semiHidden/>
    <w:unhideWhenUsed/>
    <w:qFormat/>
    <w:rsid w:val="00DA5E49"/>
    <w:rPr>
      <w:rFonts w:ascii="PMingLiU" w:eastAsia="PMingLiU" w:hAnsi="PMingLiU" w:cs="PMingLiU"/>
      <w:color w:val="000000"/>
      <w:spacing w:val="80"/>
      <w:w w:val="100"/>
      <w:position w:val="0"/>
      <w:sz w:val="36"/>
      <w:szCs w:val="36"/>
      <w:u w:val="none"/>
      <w:lang w:val="zh-CN" w:eastAsia="zh-CN" w:bidi="zh-CN"/>
    </w:rPr>
  </w:style>
  <w:style w:type="character" w:customStyle="1" w:styleId="Bodytext5">
    <w:name w:val="Body text|5_"/>
    <w:basedOn w:val="a0"/>
    <w:link w:val="Bodytext50"/>
    <w:qFormat/>
    <w:rsid w:val="00DA5E49"/>
    <w:rPr>
      <w:rFonts w:ascii="PMingLiU" w:eastAsia="PMingLiU" w:hAnsi="PMingLiU" w:cs="PMingLiU"/>
      <w:b/>
      <w:bCs/>
      <w:spacing w:val="30"/>
      <w:sz w:val="30"/>
      <w:szCs w:val="30"/>
      <w:u w:val="none"/>
    </w:rPr>
  </w:style>
  <w:style w:type="paragraph" w:customStyle="1" w:styleId="Bodytext50">
    <w:name w:val="Body text|5"/>
    <w:basedOn w:val="a"/>
    <w:link w:val="Bodytext5"/>
    <w:qFormat/>
    <w:rsid w:val="00DA5E49"/>
    <w:pPr>
      <w:shd w:val="clear" w:color="auto" w:fill="FFFFFF"/>
      <w:spacing w:after="220" w:line="300" w:lineRule="exact"/>
    </w:pPr>
    <w:rPr>
      <w:rFonts w:ascii="PMingLiU" w:eastAsia="PMingLiU" w:hAnsi="PMingLiU" w:cs="PMingLiU"/>
      <w:b/>
      <w:bCs/>
      <w:spacing w:val="30"/>
      <w:sz w:val="30"/>
      <w:szCs w:val="30"/>
    </w:rPr>
  </w:style>
  <w:style w:type="character" w:customStyle="1" w:styleId="Bodytext2">
    <w:name w:val="Body text|2_"/>
    <w:basedOn w:val="a0"/>
    <w:link w:val="Bodytext20"/>
    <w:qFormat/>
    <w:rsid w:val="00DA5E49"/>
    <w:rPr>
      <w:rFonts w:ascii="PMingLiU" w:eastAsia="PMingLiU" w:hAnsi="PMingLiU" w:cs="PMingLiU"/>
      <w:spacing w:val="30"/>
      <w:sz w:val="30"/>
      <w:szCs w:val="30"/>
      <w:u w:val="none"/>
    </w:rPr>
  </w:style>
  <w:style w:type="paragraph" w:customStyle="1" w:styleId="Bodytext20">
    <w:name w:val="Body text|2"/>
    <w:basedOn w:val="a"/>
    <w:link w:val="Bodytext2"/>
    <w:qFormat/>
    <w:rsid w:val="00DA5E49"/>
    <w:pPr>
      <w:shd w:val="clear" w:color="auto" w:fill="FFFFFF"/>
      <w:spacing w:before="220" w:after="220" w:line="300" w:lineRule="exact"/>
    </w:pPr>
    <w:rPr>
      <w:rFonts w:ascii="PMingLiU" w:eastAsia="PMingLiU" w:hAnsi="PMingLiU" w:cs="PMingLiU"/>
      <w:spacing w:val="30"/>
      <w:sz w:val="30"/>
      <w:szCs w:val="30"/>
    </w:rPr>
  </w:style>
  <w:style w:type="character" w:customStyle="1" w:styleId="Bodytext2TimesNewRoman">
    <w:name w:val="Body text|2 + Times New Roman"/>
    <w:basedOn w:val="Bodytext2"/>
    <w:semiHidden/>
    <w:unhideWhenUsed/>
    <w:qFormat/>
    <w:rsid w:val="00DA5E49"/>
    <w:rPr>
      <w:rFonts w:ascii="Times New Roman" w:eastAsia="Times New Roman" w:hAnsi="Times New Roman" w:cs="Times New Roman"/>
      <w:color w:val="000000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Bodytext2Bold">
    <w:name w:val="Body text|2 + Bold"/>
    <w:basedOn w:val="Bodytext2"/>
    <w:semiHidden/>
    <w:unhideWhenUsed/>
    <w:qFormat/>
    <w:rsid w:val="00DA5E49"/>
    <w:rPr>
      <w:rFonts w:ascii="PMingLiU" w:eastAsia="PMingLiU" w:hAnsi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Bodytext6">
    <w:name w:val="Body text|6_"/>
    <w:basedOn w:val="a0"/>
    <w:link w:val="Bodytext60"/>
    <w:qFormat/>
    <w:rsid w:val="00DA5E49"/>
    <w:rPr>
      <w:rFonts w:ascii="PMingLiU" w:eastAsia="PMingLiU" w:hAnsi="PMingLiU" w:cs="PMingLiU"/>
      <w:spacing w:val="30"/>
      <w:sz w:val="32"/>
      <w:szCs w:val="32"/>
      <w:u w:val="none"/>
    </w:rPr>
  </w:style>
  <w:style w:type="paragraph" w:customStyle="1" w:styleId="Bodytext60">
    <w:name w:val="Body text|6"/>
    <w:basedOn w:val="a"/>
    <w:link w:val="Bodytext6"/>
    <w:qFormat/>
    <w:rsid w:val="00DA5E49"/>
    <w:pPr>
      <w:shd w:val="clear" w:color="auto" w:fill="FFFFFF"/>
      <w:spacing w:after="320" w:line="320" w:lineRule="exact"/>
      <w:jc w:val="center"/>
    </w:pPr>
    <w:rPr>
      <w:rFonts w:ascii="PMingLiU" w:eastAsia="PMingLiU" w:hAnsi="PMingLiU" w:cs="PMingLiU"/>
      <w:spacing w:val="30"/>
      <w:sz w:val="32"/>
      <w:szCs w:val="32"/>
    </w:rPr>
  </w:style>
  <w:style w:type="character" w:customStyle="1" w:styleId="Bodytext212pt">
    <w:name w:val="Body text|2 + 12 pt"/>
    <w:basedOn w:val="Bodytext2"/>
    <w:semiHidden/>
    <w:unhideWhenUsed/>
    <w:qFormat/>
    <w:rsid w:val="00DA5E49"/>
    <w:rPr>
      <w:rFonts w:ascii="PMingLiU" w:eastAsia="PMingLiU" w:hAnsi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  <w:style w:type="character" w:customStyle="1" w:styleId="Bodytext6TimesNewRoman">
    <w:name w:val="Body text|6 + Times New Roman"/>
    <w:basedOn w:val="Bodytext6"/>
    <w:semiHidden/>
    <w:unhideWhenUsed/>
    <w:qFormat/>
    <w:rsid w:val="00DA5E49"/>
    <w:rPr>
      <w:rFonts w:ascii="Times New Roman" w:eastAsia="Times New Roman" w:hAnsi="Times New Roman" w:cs="Times New Roman"/>
      <w:color w:val="000000"/>
      <w:spacing w:val="0"/>
      <w:w w:val="100"/>
      <w:position w:val="0"/>
      <w:sz w:val="34"/>
      <w:szCs w:val="34"/>
      <w:u w:val="none"/>
      <w:lang w:val="zh-CN" w:eastAsia="zh-CN" w:bidi="zh-CN"/>
    </w:rPr>
  </w:style>
  <w:style w:type="character" w:customStyle="1" w:styleId="Headerorfooter1">
    <w:name w:val="Header or footer|1_"/>
    <w:basedOn w:val="a0"/>
    <w:link w:val="Headerorfooter11"/>
    <w:qFormat/>
    <w:rsid w:val="00DA5E49"/>
    <w:rPr>
      <w:rFonts w:ascii="PMingLiU" w:eastAsia="PMingLiU" w:hAnsi="PMingLiU" w:cs="PMingLiU"/>
      <w:spacing w:val="20"/>
      <w:sz w:val="19"/>
      <w:szCs w:val="19"/>
      <w:u w:val="none"/>
    </w:rPr>
  </w:style>
  <w:style w:type="paragraph" w:customStyle="1" w:styleId="Headerorfooter11">
    <w:name w:val="Header or footer|11"/>
    <w:basedOn w:val="a"/>
    <w:link w:val="Headerorfooter1"/>
    <w:qFormat/>
    <w:rsid w:val="00DA5E49"/>
    <w:pPr>
      <w:shd w:val="clear" w:color="auto" w:fill="FFFFFF"/>
      <w:spacing w:line="190" w:lineRule="exact"/>
    </w:pPr>
    <w:rPr>
      <w:rFonts w:ascii="PMingLiU" w:eastAsia="PMingLiU" w:hAnsi="PMingLiU" w:cs="PMingLiU"/>
      <w:spacing w:val="20"/>
      <w:sz w:val="19"/>
      <w:szCs w:val="19"/>
    </w:rPr>
  </w:style>
  <w:style w:type="character" w:customStyle="1" w:styleId="Headerorfooter10">
    <w:name w:val="Header or footer|1"/>
    <w:basedOn w:val="Headerorfooter1"/>
    <w:semiHidden/>
    <w:unhideWhenUsed/>
    <w:qFormat/>
    <w:rsid w:val="00DA5E49"/>
    <w:rPr>
      <w:rFonts w:ascii="PMingLiU" w:eastAsia="PMingLiU" w:hAnsi="PMingLiU" w:cs="PMingLiU"/>
      <w:color w:val="000000"/>
      <w:spacing w:val="20"/>
      <w:w w:val="100"/>
      <w:position w:val="0"/>
      <w:sz w:val="19"/>
      <w:szCs w:val="19"/>
      <w:u w:val="none"/>
      <w:lang w:val="zh-CN" w:eastAsia="zh-CN" w:bidi="zh-CN"/>
    </w:rPr>
  </w:style>
  <w:style w:type="character" w:customStyle="1" w:styleId="Headerorfooter1TimesNewRoman">
    <w:name w:val="Header or footer|1 + Times New Roman"/>
    <w:basedOn w:val="Headerorfooter1"/>
    <w:semiHidden/>
    <w:unhideWhenUsed/>
    <w:qFormat/>
    <w:rsid w:val="00DA5E49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u w:val="none"/>
      <w:lang w:val="zh-CN" w:eastAsia="zh-CN" w:bidi="zh-CN"/>
    </w:rPr>
  </w:style>
  <w:style w:type="character" w:customStyle="1" w:styleId="Heading11">
    <w:name w:val="Heading #1|1_"/>
    <w:basedOn w:val="a0"/>
    <w:link w:val="Heading110"/>
    <w:qFormat/>
    <w:rsid w:val="00DA5E49"/>
    <w:rPr>
      <w:rFonts w:ascii="PMingLiU" w:eastAsia="PMingLiU" w:hAnsi="PMingLiU" w:cs="PMingLiU"/>
      <w:sz w:val="36"/>
      <w:szCs w:val="36"/>
      <w:u w:val="none"/>
    </w:rPr>
  </w:style>
  <w:style w:type="paragraph" w:customStyle="1" w:styleId="Heading110">
    <w:name w:val="Heading #1|1"/>
    <w:basedOn w:val="a"/>
    <w:link w:val="Heading11"/>
    <w:qFormat/>
    <w:rsid w:val="00DA5E49"/>
    <w:pPr>
      <w:shd w:val="clear" w:color="auto" w:fill="FFFFFF"/>
      <w:spacing w:before="780" w:line="360" w:lineRule="exact"/>
      <w:outlineLvl w:val="0"/>
    </w:pPr>
    <w:rPr>
      <w:rFonts w:ascii="PMingLiU" w:eastAsia="PMingLiU" w:hAnsi="PMingLiU" w:cs="PMingLiU"/>
      <w:sz w:val="36"/>
      <w:szCs w:val="36"/>
    </w:rPr>
  </w:style>
  <w:style w:type="character" w:customStyle="1" w:styleId="Tablecaption1">
    <w:name w:val="Table caption|1_"/>
    <w:basedOn w:val="a0"/>
    <w:link w:val="Tablecaption10"/>
    <w:qFormat/>
    <w:rsid w:val="00DA5E49"/>
    <w:rPr>
      <w:rFonts w:ascii="PMingLiU" w:eastAsia="PMingLiU" w:hAnsi="PMingLiU" w:cs="PMingLiU"/>
      <w:sz w:val="20"/>
      <w:szCs w:val="20"/>
      <w:u w:val="none"/>
    </w:rPr>
  </w:style>
  <w:style w:type="paragraph" w:customStyle="1" w:styleId="Tablecaption10">
    <w:name w:val="Table caption|1"/>
    <w:basedOn w:val="a"/>
    <w:link w:val="Tablecaption1"/>
    <w:qFormat/>
    <w:rsid w:val="00DA5E49"/>
    <w:pPr>
      <w:shd w:val="clear" w:color="auto" w:fill="FFFFFF"/>
      <w:spacing w:line="200" w:lineRule="exact"/>
    </w:pPr>
    <w:rPr>
      <w:rFonts w:ascii="PMingLiU" w:eastAsia="PMingLiU" w:hAnsi="PMingLiU" w:cs="PMingLiU"/>
      <w:sz w:val="20"/>
      <w:szCs w:val="20"/>
    </w:rPr>
  </w:style>
  <w:style w:type="character" w:customStyle="1" w:styleId="Tablecaption1Spacing2pt">
    <w:name w:val="Table caption|1 + Spacing 2 pt"/>
    <w:basedOn w:val="Tablecaption1"/>
    <w:semiHidden/>
    <w:unhideWhenUsed/>
    <w:qFormat/>
    <w:rsid w:val="00DA5E49"/>
    <w:rPr>
      <w:rFonts w:ascii="PMingLiU" w:eastAsia="PMingLiU" w:hAnsi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Bodytext210pt">
    <w:name w:val="Body text|2 + 10 pt"/>
    <w:basedOn w:val="Bodytext2"/>
    <w:semiHidden/>
    <w:unhideWhenUsed/>
    <w:qFormat/>
    <w:rsid w:val="00DA5E49"/>
    <w:rPr>
      <w:rFonts w:ascii="PMingLiU" w:eastAsia="PMingLiU" w:hAnsi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Bodytext210pt1">
    <w:name w:val="Body text|2 + 10 pt1"/>
    <w:basedOn w:val="Bodytext2"/>
    <w:semiHidden/>
    <w:unhideWhenUsed/>
    <w:qFormat/>
    <w:rsid w:val="00DA5E49"/>
    <w:rPr>
      <w:rFonts w:ascii="PMingLiU" w:eastAsia="PMingLiU" w:hAnsi="PMingLiU" w:cs="PMingLiU"/>
      <w:color w:val="000000"/>
      <w:spacing w:val="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Bodytext218pt">
    <w:name w:val="Body text|2 + 18 pt"/>
    <w:basedOn w:val="Bodytext2"/>
    <w:semiHidden/>
    <w:unhideWhenUsed/>
    <w:qFormat/>
    <w:rsid w:val="00DA5E49"/>
    <w:rPr>
      <w:rFonts w:ascii="PMingLiU" w:eastAsia="PMingLiU" w:hAnsi="PMingLiU" w:cs="PMingLiU"/>
      <w:color w:val="000000"/>
      <w:spacing w:val="90"/>
      <w:w w:val="60"/>
      <w:position w:val="0"/>
      <w:sz w:val="36"/>
      <w:szCs w:val="36"/>
      <w:u w:val="none"/>
      <w:lang w:val="zh-CN" w:eastAsia="zh-CN" w:bidi="zh-CN"/>
    </w:rPr>
  </w:style>
  <w:style w:type="character" w:customStyle="1" w:styleId="Bodytext221pt">
    <w:name w:val="Body text|2 + 21 pt"/>
    <w:basedOn w:val="Bodytext2"/>
    <w:semiHidden/>
    <w:unhideWhenUsed/>
    <w:qFormat/>
    <w:rsid w:val="00DA5E49"/>
    <w:rPr>
      <w:rFonts w:ascii="PMingLiU" w:eastAsia="PMingLiU" w:hAnsi="PMingLiU" w:cs="PMingLiU"/>
      <w:color w:val="000000"/>
      <w:spacing w:val="70"/>
      <w:w w:val="90"/>
      <w:position w:val="0"/>
      <w:sz w:val="42"/>
      <w:szCs w:val="42"/>
      <w:u w:val="none"/>
      <w:lang w:val="zh-CN" w:eastAsia="zh-CN" w:bidi="zh-CN"/>
    </w:rPr>
  </w:style>
  <w:style w:type="character" w:customStyle="1" w:styleId="Bodytext2TimesNewRoman1">
    <w:name w:val="Body text|2 + Times New Roman1"/>
    <w:basedOn w:val="Bodytext2"/>
    <w:semiHidden/>
    <w:unhideWhenUsed/>
    <w:qFormat/>
    <w:rsid w:val="00DA5E49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Tablecaption1Exact">
    <w:name w:val="Table caption|1 Exact"/>
    <w:basedOn w:val="a0"/>
    <w:semiHidden/>
    <w:unhideWhenUsed/>
    <w:qFormat/>
    <w:rsid w:val="00DA5E49"/>
    <w:rPr>
      <w:rFonts w:ascii="PMingLiU" w:eastAsia="PMingLiU" w:hAnsi="PMingLiU" w:cs="PMingLiU"/>
      <w:sz w:val="20"/>
      <w:szCs w:val="20"/>
      <w:u w:val="none"/>
    </w:rPr>
  </w:style>
  <w:style w:type="character" w:customStyle="1" w:styleId="Bodytext7">
    <w:name w:val="Body text|7_"/>
    <w:basedOn w:val="a0"/>
    <w:link w:val="Bodytext70"/>
    <w:qFormat/>
    <w:rsid w:val="00DA5E49"/>
    <w:rPr>
      <w:rFonts w:ascii="PMingLiU" w:eastAsia="PMingLiU" w:hAnsi="PMingLiU" w:cs="PMingLiU"/>
      <w:sz w:val="20"/>
      <w:szCs w:val="20"/>
      <w:u w:val="none"/>
    </w:rPr>
  </w:style>
  <w:style w:type="paragraph" w:customStyle="1" w:styleId="Bodytext70">
    <w:name w:val="Body text|7"/>
    <w:basedOn w:val="a"/>
    <w:link w:val="Bodytext7"/>
    <w:qFormat/>
    <w:rsid w:val="00DA5E49"/>
    <w:pPr>
      <w:shd w:val="clear" w:color="auto" w:fill="FFFFFF"/>
      <w:spacing w:after="320" w:line="200" w:lineRule="exact"/>
      <w:jc w:val="right"/>
    </w:pPr>
    <w:rPr>
      <w:rFonts w:ascii="PMingLiU" w:eastAsia="PMingLiU" w:hAnsi="PMingLiU" w:cs="PMingLiU"/>
      <w:sz w:val="20"/>
      <w:szCs w:val="20"/>
    </w:rPr>
  </w:style>
  <w:style w:type="character" w:customStyle="1" w:styleId="Headerorfooter1TimesNewRoman1">
    <w:name w:val="Header or footer|1 + Times New Roman1"/>
    <w:basedOn w:val="Headerorfooter1"/>
    <w:semiHidden/>
    <w:unhideWhenUsed/>
    <w:qFormat/>
    <w:rsid w:val="00DA5E49"/>
    <w:rPr>
      <w:rFonts w:ascii="Times New Roman" w:eastAsia="Times New Roman" w:hAnsi="Times New Roman" w:cs="Times New Roman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Headerorfooter110pt">
    <w:name w:val="Header or footer|1 + 10 pt"/>
    <w:basedOn w:val="Headerorfooter1"/>
    <w:semiHidden/>
    <w:unhideWhenUsed/>
    <w:qFormat/>
    <w:rsid w:val="00DA5E49"/>
    <w:rPr>
      <w:rFonts w:ascii="PMingLiU" w:eastAsia="PMingLiU" w:hAnsi="PMingLiU" w:cs="PMingLiU"/>
      <w:color w:val="000000"/>
      <w:spacing w:val="30"/>
      <w:w w:val="80"/>
      <w:position w:val="0"/>
      <w:sz w:val="20"/>
      <w:szCs w:val="20"/>
      <w:u w:val="none"/>
      <w:lang w:val="zh-CN" w:eastAsia="zh-CN" w:bidi="zh-CN"/>
    </w:rPr>
  </w:style>
  <w:style w:type="character" w:customStyle="1" w:styleId="Headerorfooter1TimesNewRoman2">
    <w:name w:val="Header or footer|1 + Times New Roman2"/>
    <w:basedOn w:val="Headerorfooter1"/>
    <w:semiHidden/>
    <w:unhideWhenUsed/>
    <w:qFormat/>
    <w:rsid w:val="00DA5E4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105pt">
    <w:name w:val="Body text|2 + 10.5 pt"/>
    <w:basedOn w:val="Bodytext2"/>
    <w:semiHidden/>
    <w:unhideWhenUsed/>
    <w:qFormat/>
    <w:rsid w:val="00DA5E49"/>
    <w:rPr>
      <w:rFonts w:ascii="PMingLiU" w:eastAsia="PMingLiU" w:hAnsi="PMingLiU" w:cs="PMingLiU"/>
      <w:color w:val="000000"/>
      <w:spacing w:val="60"/>
      <w:w w:val="100"/>
      <w:position w:val="0"/>
      <w:sz w:val="21"/>
      <w:szCs w:val="21"/>
      <w:u w:val="none"/>
      <w:lang w:val="zh-CN" w:eastAsia="zh-CN" w:bidi="zh-CN"/>
    </w:rPr>
  </w:style>
  <w:style w:type="character" w:customStyle="1" w:styleId="Bodytext55pt">
    <w:name w:val="Body text|5 + 5 pt"/>
    <w:basedOn w:val="Bodytext5"/>
    <w:semiHidden/>
    <w:unhideWhenUsed/>
    <w:qFormat/>
    <w:rsid w:val="00DA5E49"/>
    <w:rPr>
      <w:rFonts w:ascii="PMingLiU" w:eastAsia="PMingLiU" w:hAnsi="PMingLiU" w:cs="PMingLiU"/>
      <w:color w:val="000000"/>
      <w:spacing w:val="30"/>
      <w:w w:val="100"/>
      <w:position w:val="0"/>
      <w:sz w:val="10"/>
      <w:szCs w:val="10"/>
      <w:u w:val="none"/>
      <w:lang w:val="zh-CN" w:eastAsia="zh-CN" w:bidi="zh-CN"/>
    </w:rPr>
  </w:style>
  <w:style w:type="character" w:customStyle="1" w:styleId="Bodytext5NotBold">
    <w:name w:val="Body text|5 + Not Bold"/>
    <w:basedOn w:val="Bodytext5"/>
    <w:semiHidden/>
    <w:unhideWhenUsed/>
    <w:qFormat/>
    <w:rsid w:val="00DA5E49"/>
    <w:rPr>
      <w:rFonts w:ascii="PMingLiU" w:eastAsia="PMingLiU" w:hAnsi="PMingLiU" w:cs="PMingLiU"/>
      <w:color w:val="000000"/>
      <w:spacing w:val="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Bodytext8">
    <w:name w:val="Body text|8_"/>
    <w:basedOn w:val="a0"/>
    <w:link w:val="Bodytext80"/>
    <w:qFormat/>
    <w:rsid w:val="00DA5E49"/>
    <w:rPr>
      <w:rFonts w:ascii="PMingLiU" w:eastAsia="PMingLiU" w:hAnsi="PMingLiU" w:cs="PMingLiU"/>
      <w:sz w:val="30"/>
      <w:szCs w:val="30"/>
      <w:u w:val="none"/>
    </w:rPr>
  </w:style>
  <w:style w:type="paragraph" w:customStyle="1" w:styleId="Bodytext80">
    <w:name w:val="Body text|8"/>
    <w:basedOn w:val="a"/>
    <w:link w:val="Bodytext8"/>
    <w:qFormat/>
    <w:rsid w:val="00DA5E49"/>
    <w:pPr>
      <w:shd w:val="clear" w:color="auto" w:fill="FFFFFF"/>
      <w:spacing w:line="600" w:lineRule="exact"/>
      <w:ind w:firstLine="720"/>
      <w:jc w:val="distribute"/>
    </w:pPr>
    <w:rPr>
      <w:rFonts w:ascii="PMingLiU" w:eastAsia="PMingLiU" w:hAnsi="PMingLiU" w:cs="PMingLiU"/>
      <w:sz w:val="30"/>
      <w:szCs w:val="30"/>
    </w:rPr>
  </w:style>
  <w:style w:type="character" w:customStyle="1" w:styleId="Bodytext212pt1">
    <w:name w:val="Body text|2 + 12 pt1"/>
    <w:basedOn w:val="Bodytext2"/>
    <w:semiHidden/>
    <w:unhideWhenUsed/>
    <w:qFormat/>
    <w:rsid w:val="00DA5E49"/>
    <w:rPr>
      <w:rFonts w:ascii="PMingLiU" w:eastAsia="PMingLiU" w:hAnsi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3073"/>
    <customShpInfo spid="_x0000_s307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584</Words>
  <Characters>3332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翟珺</cp:lastModifiedBy>
  <cp:revision>2</cp:revision>
  <cp:lastPrinted>2019-02-18T00:59:00Z</cp:lastPrinted>
  <dcterms:created xsi:type="dcterms:W3CDTF">2020-02-29T00:40:00Z</dcterms:created>
  <dcterms:modified xsi:type="dcterms:W3CDTF">2020-02-29T00:40:00Z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