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hd w:val="clear" w:color="auto" w:fill="auto"/>
        <w:spacing w:after="0" w:line="900" w:lineRule="exact"/>
        <w:rPr>
          <w:b/>
          <w:bCs/>
        </w:rPr>
      </w:pPr>
      <w:r>
        <w:rPr>
          <w:rFonts w:hint="eastAsia" w:eastAsia="宋体"/>
          <w:b/>
          <w:bCs/>
        </w:rPr>
        <w:t>石台县</w:t>
      </w:r>
      <w:r>
        <w:rPr>
          <w:rFonts w:hint="eastAsia" w:eastAsia="宋体"/>
          <w:b/>
          <w:bCs/>
          <w:lang w:val="en-US"/>
        </w:rPr>
        <w:t>广播电视台</w:t>
      </w:r>
      <w:r>
        <w:rPr>
          <w:rStyle w:val="12"/>
        </w:rPr>
        <w:t>20</w:t>
      </w:r>
      <w:r>
        <w:rPr>
          <w:rStyle w:val="12"/>
          <w:rFonts w:hint="eastAsia"/>
          <w:lang w:val="en-US"/>
        </w:rPr>
        <w:t>20</w:t>
      </w:r>
      <w:r>
        <w:rPr>
          <w:rStyle w:val="12"/>
          <w:rFonts w:hint="eastAsia"/>
        </w:rPr>
        <w:t>年</w:t>
      </w:r>
      <w:r>
        <w:rPr>
          <w:rFonts w:hint="eastAsia"/>
          <w:b/>
          <w:bCs/>
        </w:rPr>
        <w:t>部门预算</w:t>
      </w:r>
    </w:p>
    <w:p>
      <w:pPr>
        <w:pStyle w:val="11"/>
        <w:shd w:val="clear" w:color="auto" w:fill="auto"/>
        <w:spacing w:after="0" w:line="560" w:lineRule="exact"/>
      </w:pPr>
    </w:p>
    <w:p>
      <w:pPr>
        <w:pStyle w:val="11"/>
        <w:shd w:val="clear" w:color="auto" w:fill="auto"/>
        <w:spacing w:after="0" w:line="560" w:lineRule="exact"/>
      </w:pPr>
    </w:p>
    <w:p>
      <w:pPr>
        <w:pStyle w:val="11"/>
        <w:shd w:val="clear" w:color="auto" w:fill="auto"/>
        <w:spacing w:after="0" w:line="560" w:lineRule="exact"/>
      </w:pPr>
    </w:p>
    <w:p>
      <w:pPr>
        <w:pStyle w:val="11"/>
        <w:shd w:val="clear" w:color="auto" w:fill="auto"/>
        <w:spacing w:after="0" w:line="560" w:lineRule="exact"/>
      </w:pPr>
    </w:p>
    <w:p>
      <w:pPr>
        <w:pStyle w:val="11"/>
        <w:shd w:val="clear" w:color="auto" w:fill="auto"/>
        <w:spacing w:after="0" w:line="560" w:lineRule="exact"/>
      </w:pPr>
    </w:p>
    <w:p>
      <w:pPr>
        <w:pStyle w:val="11"/>
        <w:shd w:val="clear" w:color="auto" w:fill="auto"/>
        <w:spacing w:after="0" w:line="560" w:lineRule="exact"/>
      </w:pPr>
    </w:p>
    <w:p>
      <w:pPr>
        <w:pStyle w:val="11"/>
        <w:shd w:val="clear" w:color="auto" w:fill="auto"/>
        <w:spacing w:after="0" w:line="560" w:lineRule="exact"/>
      </w:pPr>
    </w:p>
    <w:p>
      <w:pPr>
        <w:pStyle w:val="11"/>
        <w:shd w:val="clear" w:color="auto" w:fill="auto"/>
        <w:spacing w:after="0" w:line="560" w:lineRule="exact"/>
      </w:pPr>
    </w:p>
    <w:p>
      <w:pPr>
        <w:pStyle w:val="11"/>
        <w:shd w:val="clear" w:color="auto" w:fill="auto"/>
        <w:spacing w:after="0" w:line="560" w:lineRule="exact"/>
        <w:jc w:val="both"/>
      </w:pP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  <w:r>
        <w:rPr>
          <w:rStyle w:val="15"/>
        </w:rPr>
        <w:t>20</w:t>
      </w:r>
      <w:r>
        <w:rPr>
          <w:rStyle w:val="15"/>
          <w:rFonts w:hint="eastAsia"/>
          <w:lang w:val="en-US"/>
        </w:rPr>
        <w:t>20</w:t>
      </w:r>
      <w:r>
        <w:rPr>
          <w:rStyle w:val="15"/>
          <w:rFonts w:hint="eastAsia"/>
        </w:rPr>
        <w:t>年</w:t>
      </w:r>
      <w:r>
        <w:rPr>
          <w:rStyle w:val="15"/>
          <w:rFonts w:hint="eastAsia"/>
          <w:lang w:val="en-US"/>
        </w:rPr>
        <w:t>1</w:t>
      </w:r>
      <w:r>
        <w:rPr>
          <w:rStyle w:val="15"/>
          <w:rFonts w:hint="eastAsia"/>
        </w:rPr>
        <w:t>月</w:t>
      </w: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jc w:val="both"/>
        <w:rPr>
          <w:rStyle w:val="15"/>
          <w:rFonts w:hint="eastAsia"/>
        </w:rPr>
      </w:pPr>
    </w:p>
    <w:p>
      <w:pPr>
        <w:pStyle w:val="11"/>
        <w:shd w:val="clear" w:color="auto" w:fill="auto"/>
        <w:spacing w:after="0" w:line="560" w:lineRule="exact"/>
        <w:jc w:val="center"/>
        <w:rPr>
          <w:rStyle w:val="15"/>
          <w:rFonts w:hint="eastAsia" w:eastAsia="宋体"/>
          <w:lang w:val="en-US" w:eastAsia="zh-CN"/>
        </w:rPr>
      </w:pPr>
      <w:r>
        <w:rPr>
          <w:rStyle w:val="15"/>
          <w:rFonts w:hint="eastAsia" w:eastAsia="宋体"/>
          <w:lang w:val="en-US" w:eastAsia="zh-CN"/>
        </w:rPr>
        <w:t>目录</w:t>
      </w:r>
    </w:p>
    <w:p>
      <w:pPr>
        <w:pStyle w:val="11"/>
        <w:shd w:val="clear" w:color="auto" w:fill="auto"/>
        <w:spacing w:after="0" w:line="560" w:lineRule="exact"/>
        <w:jc w:val="center"/>
        <w:rPr>
          <w:rStyle w:val="15"/>
          <w:rFonts w:hint="eastAsia" w:eastAsia="宋体"/>
          <w:lang w:val="en-US" w:eastAsia="zh-CN"/>
        </w:rPr>
      </w:pPr>
    </w:p>
    <w:p>
      <w:pPr>
        <w:spacing w:before="65" w:after="65" w:line="240" w:lineRule="exact"/>
        <w:rPr>
          <w:sz w:val="19"/>
          <w:szCs w:val="19"/>
        </w:rPr>
      </w:pPr>
    </w:p>
    <w:p>
      <w:pPr>
        <w:rPr>
          <w:sz w:val="2"/>
          <w:szCs w:val="2"/>
        </w:rPr>
        <w:sectPr>
          <w:headerReference r:id="rId5" w:type="default"/>
          <w:footerReference r:id="rId7" w:type="default"/>
          <w:headerReference r:id="rId6" w:type="even"/>
          <w:footerReference r:id="rId8" w:type="even"/>
          <w:pgSz w:w="11900" w:h="16840"/>
          <w:pgMar w:top="1920" w:right="0" w:bottom="1775" w:left="0" w:header="0" w:footer="3" w:gutter="0"/>
          <w:cols w:space="720" w:num="1"/>
          <w:docGrid w:linePitch="360" w:charSpace="0"/>
        </w:sectPr>
      </w:pPr>
    </w:p>
    <w:p>
      <w:pPr>
        <w:pStyle w:val="17"/>
        <w:shd w:val="clear" w:color="auto" w:fill="auto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第一部分</w:t>
      </w:r>
      <w:r>
        <w:rPr>
          <w:rFonts w:ascii="宋体" w:hAnsi="宋体" w:eastAsia="宋体" w:cs="宋体"/>
          <w:lang w:val="en-US"/>
        </w:rPr>
        <w:t xml:space="preserve"> </w:t>
      </w:r>
      <w:r>
        <w:rPr>
          <w:rFonts w:hint="eastAsia" w:ascii="宋体" w:hAnsi="宋体" w:eastAsia="宋体" w:cs="宋体"/>
        </w:rPr>
        <w:t>部门概况</w:t>
      </w:r>
    </w:p>
    <w:p>
      <w:pPr>
        <w:pStyle w:val="17"/>
        <w:numPr>
          <w:ilvl w:val="0"/>
          <w:numId w:val="1"/>
        </w:numPr>
        <w:rPr>
          <w:rFonts w:ascii="宋体" w:hAnsi="宋体" w:eastAsia="宋体" w:cs="宋体"/>
          <w:b w:val="0"/>
          <w:bCs w:val="0"/>
        </w:rPr>
      </w:pPr>
      <w:r>
        <w:rPr>
          <w:rFonts w:hint="eastAsia" w:ascii="宋体" w:hAnsi="宋体" w:eastAsia="宋体" w:cs="宋体"/>
          <w:b w:val="0"/>
          <w:bCs w:val="0"/>
        </w:rPr>
        <w:t>主要职责</w:t>
      </w:r>
    </w:p>
    <w:p>
      <w:pPr>
        <w:pStyle w:val="17"/>
        <w:numPr>
          <w:ilvl w:val="0"/>
          <w:numId w:val="1"/>
        </w:numPr>
        <w:rPr>
          <w:rFonts w:ascii="宋体" w:hAnsi="宋体" w:eastAsia="宋体" w:cs="宋体"/>
          <w:b w:val="0"/>
          <w:bCs w:val="0"/>
        </w:rPr>
      </w:pPr>
      <w:r>
        <w:rPr>
          <w:rFonts w:hint="eastAsia" w:ascii="宋体" w:hAnsi="宋体" w:eastAsia="宋体" w:cs="宋体"/>
          <w:b w:val="0"/>
          <w:bCs w:val="0"/>
        </w:rPr>
        <w:t>部门预算单位构成</w:t>
      </w:r>
    </w:p>
    <w:p>
      <w:pPr>
        <w:pStyle w:val="19"/>
        <w:numPr>
          <w:ilvl w:val="0"/>
          <w:numId w:val="1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年度主要工作任务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第</w:t>
      </w:r>
      <w:r>
        <w:rPr>
          <w:rFonts w:hint="eastAsia" w:ascii="宋体" w:hAnsi="宋体" w:eastAsia="宋体" w:cs="宋体"/>
          <w:lang w:val="en-US" w:eastAsia="zh-CN"/>
        </w:rPr>
        <w:t>二</w:t>
      </w:r>
      <w:r>
        <w:rPr>
          <w:rFonts w:hint="eastAsia" w:ascii="宋体" w:hAnsi="宋体" w:eastAsia="宋体" w:cs="宋体"/>
        </w:rPr>
        <w:t>部分</w:t>
      </w:r>
      <w:r>
        <w:rPr>
          <w:rFonts w:ascii="宋体" w:hAnsi="宋体" w:eastAsia="宋体" w:cs="宋体"/>
          <w:lang w:val="en-US"/>
        </w:rPr>
        <w:t xml:space="preserve"> </w:t>
      </w:r>
      <w:r>
        <w:rPr>
          <w:rFonts w:ascii="宋体" w:hAnsi="宋体" w:eastAsia="宋体" w:cs="宋体"/>
        </w:rPr>
        <w:t>2</w:t>
      </w:r>
      <w:r>
        <w:rPr>
          <w:rFonts w:hint="eastAsia" w:ascii="宋体" w:hAnsi="宋体" w:eastAsia="宋体" w:cs="宋体"/>
          <w:lang w:val="en-US" w:eastAsia="zh-CN"/>
        </w:rPr>
        <w:t>020</w:t>
      </w:r>
      <w:r>
        <w:rPr>
          <w:rFonts w:hint="eastAsia" w:ascii="宋体" w:hAnsi="宋体" w:eastAsia="宋体" w:cs="宋体"/>
        </w:rPr>
        <w:t>年部门预算情况说明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</w:rPr>
        <w:t>1.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 w:val="0"/>
        </w:rPr>
        <w:t>年财政拨款收支预算总体情况说明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</w:rPr>
        <w:t>2.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 w:val="0"/>
        </w:rPr>
        <w:t>年一般公共预算财政拨款情况说明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</w:rPr>
        <w:t>3.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 w:val="0"/>
        </w:rPr>
        <w:t>年一般公共预算基本支出情况说明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</w:rPr>
        <w:t>4.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 w:val="0"/>
        </w:rPr>
        <w:t>年政府性基金预算拨款情况说明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  <w:lang w:val="en-US"/>
        </w:rPr>
        <w:t>5</w:t>
      </w:r>
      <w:r>
        <w:rPr>
          <w:rFonts w:ascii="宋体" w:hAnsi="宋体" w:eastAsia="宋体" w:cs="宋体"/>
          <w:b w:val="0"/>
          <w:bCs w:val="0"/>
        </w:rPr>
        <w:t>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 w:val="0"/>
        </w:rPr>
        <w:t>年收支预算总体情况说明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  <w:lang w:val="en-US"/>
        </w:rPr>
        <w:t>6</w:t>
      </w:r>
      <w:r>
        <w:rPr>
          <w:rFonts w:ascii="宋体" w:hAnsi="宋体" w:eastAsia="宋体" w:cs="宋体"/>
          <w:b w:val="0"/>
          <w:bCs w:val="0"/>
        </w:rPr>
        <w:t>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 w:val="0"/>
        </w:rPr>
        <w:t>年收入预算情况说明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  <w:lang w:val="en-US"/>
        </w:rPr>
        <w:t>7</w:t>
      </w:r>
      <w:r>
        <w:rPr>
          <w:rFonts w:ascii="宋体" w:hAnsi="宋体" w:eastAsia="宋体" w:cs="宋体"/>
          <w:b w:val="0"/>
          <w:bCs w:val="0"/>
        </w:rPr>
        <w:t>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 w:val="0"/>
        </w:rPr>
        <w:t>年支出预算情况说明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  <w:lang w:val="en-US"/>
        </w:rPr>
        <w:t>8</w:t>
      </w:r>
      <w:r>
        <w:rPr>
          <w:rFonts w:ascii="宋体" w:hAnsi="宋体" w:eastAsia="宋体" w:cs="宋体"/>
          <w:b w:val="0"/>
          <w:bCs w:val="0"/>
        </w:rPr>
        <w:t>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 w:val="0"/>
        </w:rPr>
        <w:t>年国有资本经营预算拨款情况说明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  <w:lang w:val="en-US"/>
        </w:rPr>
      </w:pPr>
      <w:r>
        <w:rPr>
          <w:rFonts w:ascii="宋体" w:hAnsi="宋体" w:eastAsia="宋体" w:cs="宋体"/>
          <w:b w:val="0"/>
          <w:bCs w:val="0"/>
          <w:lang w:val="en-US"/>
        </w:rPr>
        <w:t>9.</w:t>
      </w:r>
      <w:r>
        <w:rPr>
          <w:rFonts w:hint="eastAsia" w:ascii="宋体" w:hAnsi="宋体" w:eastAsia="宋体" w:cs="宋体"/>
          <w:b w:val="0"/>
          <w:bCs w:val="0"/>
          <w:lang w:val="en-US"/>
        </w:rPr>
        <w:t>批复绩效目标的项目及绩效目标设置情况说明</w:t>
      </w:r>
    </w:p>
    <w:p>
      <w:pPr>
        <w:pStyle w:val="19"/>
        <w:widowControl w:val="0"/>
        <w:numPr>
          <w:ilvl w:val="0"/>
          <w:numId w:val="0"/>
        </w:numPr>
        <w:shd w:val="clear" w:color="auto" w:fill="auto"/>
        <w:tabs>
          <w:tab w:val="left" w:pos="392"/>
        </w:tabs>
        <w:spacing w:line="538" w:lineRule="exact"/>
        <w:rPr>
          <w:rFonts w:hint="eastAsia"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  <w:lang w:val="en-US"/>
        </w:rPr>
        <w:t>10</w:t>
      </w:r>
      <w:r>
        <w:rPr>
          <w:rFonts w:ascii="宋体" w:hAnsi="宋体" w:eastAsia="宋体" w:cs="宋体"/>
          <w:b w:val="0"/>
          <w:bCs w:val="0"/>
        </w:rPr>
        <w:t>.</w:t>
      </w:r>
      <w:r>
        <w:rPr>
          <w:rFonts w:hint="eastAsia" w:ascii="宋体" w:hAnsi="宋体" w:eastAsia="宋体" w:cs="宋体"/>
          <w:b w:val="0"/>
          <w:bCs w:val="0"/>
        </w:rPr>
        <w:t>其他重要事项情况说明（含机关运行经费、政府采购预算、政府购买服务预算、国有资产占用情况等说明）</w:t>
      </w:r>
    </w:p>
    <w:p>
      <w:pPr>
        <w:pStyle w:val="19"/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Style w:val="21"/>
          <w:rFonts w:hint="eastAsia" w:ascii="宋体" w:hAnsi="宋体" w:eastAsia="宋体" w:cs="宋体"/>
        </w:rPr>
        <w:t>第三部分</w:t>
      </w:r>
      <w:r>
        <w:rPr>
          <w:rStyle w:val="21"/>
          <w:rFonts w:ascii="宋体" w:hAnsi="宋体" w:eastAsia="宋体" w:cs="宋体"/>
          <w:lang w:val="en-US"/>
        </w:rPr>
        <w:t xml:space="preserve"> </w:t>
      </w:r>
      <w:r>
        <w:rPr>
          <w:rStyle w:val="21"/>
          <w:rFonts w:hint="eastAsia" w:ascii="宋体" w:hAnsi="宋体" w:eastAsia="宋体" w:cs="宋体"/>
        </w:rPr>
        <w:t>名词解释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</w:rPr>
      </w:pPr>
      <w:bookmarkStart w:id="0" w:name="_GoBack"/>
      <w:bookmarkEnd w:id="0"/>
      <w:r>
        <w:rPr>
          <w:rFonts w:hint="eastAsia" w:ascii="宋体" w:hAnsi="宋体" w:eastAsia="宋体" w:cs="宋体"/>
        </w:rPr>
        <w:t>第</w:t>
      </w:r>
      <w:r>
        <w:rPr>
          <w:rFonts w:hint="eastAsia" w:ascii="宋体" w:hAnsi="宋体" w:eastAsia="宋体" w:cs="宋体"/>
          <w:lang w:eastAsia="zh-CN"/>
        </w:rPr>
        <w:t>四</w:t>
      </w:r>
      <w:r>
        <w:rPr>
          <w:rFonts w:hint="eastAsia" w:ascii="宋体" w:hAnsi="宋体" w:eastAsia="宋体" w:cs="宋体"/>
        </w:rPr>
        <w:t>部分</w:t>
      </w:r>
      <w:r>
        <w:rPr>
          <w:rFonts w:ascii="宋体" w:hAnsi="宋体" w:eastAsia="宋体" w:cs="宋体"/>
          <w:lang w:val="en-US"/>
        </w:rPr>
        <w:t xml:space="preserve"> 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年部门预算表（附表）</w:t>
      </w:r>
    </w:p>
    <w:p>
      <w:pPr>
        <w:pStyle w:val="19"/>
        <w:numPr>
          <w:ilvl w:val="0"/>
          <w:numId w:val="2"/>
        </w:numPr>
        <w:shd w:val="clear" w:color="auto" w:fill="auto"/>
        <w:tabs>
          <w:tab w:val="left" w:pos="38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年部门财政拨款收支预算总表</w:t>
      </w:r>
    </w:p>
    <w:p>
      <w:pPr>
        <w:pStyle w:val="19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年部门一般公共预算支出预算表</w:t>
      </w:r>
    </w:p>
    <w:p>
      <w:pPr>
        <w:pStyle w:val="19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年部门一般公共预算基本支出预算表</w:t>
      </w:r>
    </w:p>
    <w:p>
      <w:pPr>
        <w:pStyle w:val="19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年部门政府性基金预算支出预算表</w:t>
      </w:r>
    </w:p>
    <w:p>
      <w:pPr>
        <w:pStyle w:val="19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年部门收支预算总表</w:t>
      </w:r>
    </w:p>
    <w:p>
      <w:pPr>
        <w:pStyle w:val="19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年部门收入预算总表</w:t>
      </w:r>
    </w:p>
    <w:p>
      <w:pPr>
        <w:pStyle w:val="19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年部门支出预算总表</w:t>
      </w:r>
    </w:p>
    <w:p>
      <w:pPr>
        <w:pStyle w:val="19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  <w:lang w:val="en-US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  <w:lang w:val="en-US"/>
        </w:rPr>
        <w:t>年部门</w:t>
      </w:r>
      <w:r>
        <w:rPr>
          <w:rFonts w:hint="eastAsia" w:ascii="宋体" w:hAnsi="宋体" w:eastAsia="宋体" w:cs="宋体"/>
        </w:rPr>
        <w:t>国有资本经营预算支出预算表</w:t>
      </w:r>
    </w:p>
    <w:p>
      <w:pPr>
        <w:pStyle w:val="19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  <w:lang w:val="en-US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  <w:lang w:val="en-US"/>
        </w:rPr>
        <w:t>年部门政府采购预算表</w:t>
      </w:r>
    </w:p>
    <w:p>
      <w:pPr>
        <w:pStyle w:val="19"/>
        <w:numPr>
          <w:ilvl w:val="0"/>
          <w:numId w:val="0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  <w:lang w:val="en-US"/>
        </w:rPr>
        <w:t>10.20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  <w:lang w:val="en-US"/>
        </w:rPr>
        <w:t>年政府购买服务预算表</w:t>
      </w:r>
    </w:p>
    <w:p>
      <w:pPr>
        <w:pStyle w:val="17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  <w:highlight w:val="yellow"/>
        </w:rPr>
      </w:pPr>
      <w:r>
        <w:rPr>
          <w:rFonts w:ascii="宋体" w:hAnsi="宋体" w:eastAsia="宋体" w:cs="宋体"/>
          <w:b w:val="0"/>
          <w:bCs w:val="0"/>
        </w:rPr>
        <w:t xml:space="preserve"> </w:t>
      </w:r>
    </w:p>
    <w:p>
      <w:pPr>
        <w:pStyle w:val="19"/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/>
        <w:ind w:left="80"/>
      </w:pPr>
    </w:p>
    <w:p>
      <w:pPr>
        <w:pStyle w:val="23"/>
        <w:shd w:val="clear" w:color="auto" w:fill="auto"/>
        <w:spacing w:after="81" w:line="360" w:lineRule="auto"/>
        <w:jc w:val="both"/>
      </w:pPr>
    </w:p>
    <w:p>
      <w:pPr>
        <w:pStyle w:val="23"/>
        <w:shd w:val="clear" w:color="auto" w:fill="auto"/>
        <w:spacing w:after="81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第一部分</w:t>
      </w:r>
      <w:r>
        <w:rPr>
          <w:rFonts w:ascii="仿宋" w:hAnsi="仿宋" w:eastAsia="仿宋" w:cs="仿宋"/>
          <w:b/>
          <w:bCs/>
          <w:lang w:val="en-US"/>
        </w:rPr>
        <w:t xml:space="preserve"> </w:t>
      </w:r>
      <w:r>
        <w:rPr>
          <w:rFonts w:hint="eastAsia" w:ascii="仿宋" w:hAnsi="仿宋" w:eastAsia="仿宋" w:cs="仿宋"/>
          <w:b/>
          <w:bCs/>
        </w:rPr>
        <w:t>部门概况</w:t>
      </w:r>
    </w:p>
    <w:p>
      <w:pPr>
        <w:pStyle w:val="17"/>
        <w:shd w:val="clear" w:color="auto" w:fill="auto"/>
        <w:tabs>
          <w:tab w:val="left" w:pos="1301"/>
        </w:tabs>
        <w:spacing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</w:t>
      </w:r>
      <w:r>
        <w:rPr>
          <w:rFonts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主要职责</w:t>
      </w:r>
    </w:p>
    <w:p>
      <w:pPr>
        <w:pStyle w:val="4"/>
        <w:spacing w:before="0" w:beforeAutospacing="0" w:after="225" w:afterAutospacing="0" w:line="360" w:lineRule="atLeast"/>
        <w:ind w:firstLine="450" w:firstLineChars="15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（一）</w:t>
      </w:r>
      <w:r>
        <w:rPr>
          <w:rFonts w:hint="eastAsia"/>
          <w:sz w:val="30"/>
          <w:szCs w:val="30"/>
        </w:rPr>
        <w:t>贯彻执行党的宣传方针，坚持正确舆论导向，及时准确地宣传党的路线、方针、政策。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　　</w:t>
      </w:r>
    </w:p>
    <w:p>
      <w:pPr>
        <w:pStyle w:val="4"/>
        <w:spacing w:before="0" w:beforeAutospacing="0" w:after="225" w:afterAutospacing="0" w:line="360" w:lineRule="atLeast"/>
        <w:ind w:firstLine="48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（二）</w:t>
      </w:r>
      <w:r>
        <w:rPr>
          <w:rFonts w:hint="eastAsia"/>
          <w:sz w:val="30"/>
          <w:szCs w:val="30"/>
        </w:rPr>
        <w:t>围绕县委、县政府中心工作，确定广播电视宣传工作的指导思想和报道重点；负责全县广播电视对外宣传工作；按规定完整转播中央、省、市</w:t>
      </w:r>
      <w:r>
        <w:fldChar w:fldCharType="begin"/>
      </w:r>
      <w:r>
        <w:instrText xml:space="preserve"> HYPERLINK "https://baike.sogou.com/lemma/ShowInnerLink.htm?lemmaId=54847557&amp;ss_c=ssc.citiao.link" \t "_blank" </w:instrText>
      </w:r>
      <w:r>
        <w:fldChar w:fldCharType="separate"/>
      </w:r>
      <w:r>
        <w:rPr>
          <w:rFonts w:hint="eastAsia"/>
          <w:sz w:val="30"/>
          <w:szCs w:val="30"/>
        </w:rPr>
        <w:t>广播电视节目</w:t>
      </w:r>
      <w:r>
        <w:rPr>
          <w:rFonts w:hint="eastAsia"/>
          <w:sz w:val="30"/>
          <w:szCs w:val="30"/>
        </w:rPr>
        <w:fldChar w:fldCharType="end"/>
      </w:r>
      <w:r>
        <w:rPr>
          <w:rFonts w:hint="eastAsia"/>
          <w:sz w:val="30"/>
          <w:szCs w:val="30"/>
        </w:rPr>
        <w:t>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　　</w:t>
      </w:r>
    </w:p>
    <w:p>
      <w:pPr>
        <w:pStyle w:val="4"/>
        <w:spacing w:before="0" w:beforeAutospacing="0" w:after="225" w:afterAutospacing="0" w:line="360" w:lineRule="atLeast"/>
        <w:ind w:firstLine="48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（三）</w:t>
      </w:r>
      <w:r>
        <w:rPr>
          <w:rFonts w:hint="eastAsia"/>
          <w:sz w:val="30"/>
          <w:szCs w:val="30"/>
        </w:rPr>
        <w:t>负责全台广播电视事业发展规划、广播电视节目的终审和播出，办好健康向上的广播电视节目，不断丰富人民群众的精神文化生活。</w:t>
      </w:r>
    </w:p>
    <w:p>
      <w:pPr>
        <w:pStyle w:val="4"/>
        <w:spacing w:before="0" w:beforeAutospacing="0" w:after="225" w:afterAutospacing="0" w:line="360" w:lineRule="atLeast"/>
        <w:ind w:firstLine="48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（四）</w:t>
      </w:r>
      <w:r>
        <w:rPr>
          <w:rFonts w:hint="eastAsia"/>
          <w:sz w:val="30"/>
          <w:szCs w:val="30"/>
        </w:rPr>
        <w:t>负责广播电视节目安全播出和技术保障工作，加快科技创新和改革步伐，努力提升广播电视的科技含量和播出水平。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　　</w:t>
      </w:r>
    </w:p>
    <w:p>
      <w:pPr>
        <w:pStyle w:val="4"/>
        <w:spacing w:before="0" w:beforeAutospacing="0" w:after="225" w:afterAutospacing="0" w:line="360" w:lineRule="atLeast"/>
        <w:ind w:firstLine="48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（五）</w:t>
      </w:r>
      <w:r>
        <w:rPr>
          <w:rFonts w:hint="eastAsia"/>
          <w:sz w:val="30"/>
          <w:szCs w:val="30"/>
        </w:rPr>
        <w:t>负责组织实施全县广播电视传输</w:t>
      </w:r>
      <w:r>
        <w:fldChar w:fldCharType="begin"/>
      </w:r>
      <w:r>
        <w:instrText xml:space="preserve"> HYPERLINK "https://baike.sogou.com/lemma/ShowInnerLink.htm?lemmaId=60599973&amp;ss_c=ssc.citiao.link" \t "_blank" </w:instrText>
      </w:r>
      <w:r>
        <w:fldChar w:fldCharType="separate"/>
      </w:r>
      <w:r>
        <w:rPr>
          <w:rFonts w:hint="eastAsia"/>
          <w:sz w:val="30"/>
          <w:szCs w:val="30"/>
        </w:rPr>
        <w:t>覆盖网络</w:t>
      </w:r>
      <w:r>
        <w:rPr>
          <w:rFonts w:hint="eastAsia"/>
          <w:sz w:val="30"/>
          <w:szCs w:val="30"/>
        </w:rPr>
        <w:fldChar w:fldCharType="end"/>
      </w:r>
      <w:r>
        <w:rPr>
          <w:rFonts w:hint="eastAsia"/>
          <w:sz w:val="30"/>
          <w:szCs w:val="30"/>
        </w:rPr>
        <w:t>建设、运营与管理；负责指导城乡有线电视建设、推广与经营，大力发展广播电视网络与无线数字广播、有线数字电视事业。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　　</w:t>
      </w:r>
    </w:p>
    <w:p>
      <w:pPr>
        <w:pStyle w:val="4"/>
        <w:spacing w:before="0" w:beforeAutospacing="0" w:after="225" w:afterAutospacing="0" w:line="360" w:lineRule="atLeast"/>
        <w:ind w:left="360" w:leftChars="15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（六）</w:t>
      </w:r>
      <w:r>
        <w:rPr>
          <w:rFonts w:hint="eastAsia"/>
          <w:sz w:val="30"/>
          <w:szCs w:val="30"/>
        </w:rPr>
        <w:t>大力发展新媒体业务，拓宽宣传阵地和宣传渠道。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　</w:t>
      </w:r>
    </w:p>
    <w:p>
      <w:pPr>
        <w:pStyle w:val="4"/>
        <w:spacing w:before="0" w:beforeAutospacing="0" w:after="225" w:afterAutospacing="0" w:line="360" w:lineRule="atLeast"/>
        <w:ind w:left="360" w:leftChars="150"/>
        <w:rPr>
          <w:sz w:val="30"/>
          <w:szCs w:val="30"/>
        </w:rPr>
      </w:pPr>
      <w:r>
        <w:rPr>
          <w:rFonts w:hint="eastAsia"/>
          <w:color w:val="333333"/>
          <w:sz w:val="30"/>
          <w:szCs w:val="30"/>
        </w:rPr>
        <w:t>（七）</w:t>
      </w:r>
      <w:r>
        <w:rPr>
          <w:rFonts w:hint="eastAsia"/>
          <w:sz w:val="30"/>
          <w:szCs w:val="30"/>
        </w:rPr>
        <w:t>加强全台广播电视队伍的思想政治建设、业务培训和</w:t>
      </w:r>
      <w:r>
        <w:fldChar w:fldCharType="begin"/>
      </w:r>
      <w:r>
        <w:instrText xml:space="preserve"> HYPERLINK "https://baike.sogou.com/lemma/ShowInnerLink.htm?lemmaId=75812437&amp;ss_c=ssc.citiao.link" \t "_blank" </w:instrText>
      </w:r>
      <w:r>
        <w:fldChar w:fldCharType="separate"/>
      </w:r>
      <w:r>
        <w:rPr>
          <w:rFonts w:hint="eastAsia"/>
          <w:sz w:val="30"/>
          <w:szCs w:val="30"/>
        </w:rPr>
        <w:t>职业道德教育</w:t>
      </w:r>
      <w:r>
        <w:rPr>
          <w:rFonts w:hint="eastAsia"/>
          <w:sz w:val="30"/>
          <w:szCs w:val="30"/>
        </w:rPr>
        <w:fldChar w:fldCharType="end"/>
      </w:r>
      <w:r>
        <w:rPr>
          <w:rFonts w:hint="eastAsia"/>
          <w:sz w:val="30"/>
          <w:szCs w:val="30"/>
        </w:rPr>
        <w:t>，加强广播电视系统的人才队伍建设；研究和推进广播电视系统内部管理体制改革。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　　</w:t>
      </w:r>
    </w:p>
    <w:p>
      <w:pPr>
        <w:pStyle w:val="4"/>
        <w:spacing w:before="0" w:beforeAutospacing="0" w:after="225" w:afterAutospacing="0" w:line="360" w:lineRule="atLeast"/>
        <w:ind w:firstLine="480"/>
        <w:rPr>
          <w:sz w:val="30"/>
          <w:szCs w:val="30"/>
        </w:rPr>
      </w:pPr>
      <w:r>
        <w:rPr>
          <w:rFonts w:hint="eastAsia"/>
          <w:sz w:val="30"/>
          <w:szCs w:val="30"/>
        </w:rPr>
        <w:t>（八）负责全台内部人财物的统一管理。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　　</w:t>
      </w:r>
    </w:p>
    <w:p>
      <w:pPr>
        <w:pStyle w:val="4"/>
        <w:spacing w:before="0" w:beforeAutospacing="0" w:after="225" w:afterAutospacing="0" w:line="360" w:lineRule="atLeast"/>
        <w:ind w:firstLine="480"/>
        <w:rPr>
          <w:rFonts w:ascii="Adobe 宋体 Std L" w:hAnsi="Adobe 宋体 Std L" w:eastAsia="Adobe 宋体 Std L" w:cs="Arial"/>
          <w:sz w:val="30"/>
          <w:szCs w:val="30"/>
        </w:rPr>
      </w:pPr>
      <w:r>
        <w:rPr>
          <w:rFonts w:hint="eastAsia"/>
          <w:sz w:val="30"/>
          <w:szCs w:val="30"/>
        </w:rPr>
        <w:t>（九）承办县委、县政府交办的其他事项。</w:t>
      </w:r>
    </w:p>
    <w:p>
      <w:pPr>
        <w:pStyle w:val="17"/>
        <w:shd w:val="clear" w:color="auto" w:fill="auto"/>
        <w:tabs>
          <w:tab w:val="left" w:pos="1301"/>
        </w:tabs>
        <w:spacing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</w:t>
      </w:r>
      <w:r>
        <w:rPr>
          <w:rFonts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部门预算单位构成</w:t>
      </w:r>
    </w:p>
    <w:tbl>
      <w:tblPr>
        <w:tblStyle w:val="5"/>
        <w:tblW w:w="9014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12"/>
        <w:gridCol w:w="3600"/>
        <w:gridCol w:w="4502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8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51"/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51"/>
                <w:rFonts w:hint="eastAsia" w:ascii="仿宋" w:hAnsi="仿宋" w:eastAsia="仿宋" w:cs="仿宋"/>
              </w:rPr>
              <w:t>单位名称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51"/>
                <w:rFonts w:hint="eastAsia" w:ascii="仿宋" w:hAnsi="仿宋" w:eastAsia="仿宋" w:cs="仿宋"/>
              </w:rPr>
              <w:t>单位性质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51"/>
                <w:rFonts w:ascii="仿宋" w:hAnsi="仿宋" w:eastAsia="仿宋" w:cs="仿宋"/>
              </w:rPr>
              <w:t>1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jc w:val="center"/>
              <w:rPr>
                <w:rFonts w:ascii="仿宋" w:hAnsi="仿宋" w:eastAsia="宋体" w:cs="仿宋"/>
                <w:sz w:val="24"/>
                <w:szCs w:val="24"/>
              </w:rPr>
            </w:pPr>
            <w:r>
              <w:rPr>
                <w:rStyle w:val="51"/>
                <w:rFonts w:hint="eastAsia" w:eastAsia="宋体"/>
              </w:rPr>
              <w:t>石台县广播电视台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600" w:firstLineChars="200"/>
              <w:jc w:val="center"/>
              <w:rPr>
                <w:rFonts w:hint="eastAsia" w:ascii="宋体" w:hAnsi="宋体" w:eastAsia="宋体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4"/>
                <w:szCs w:val="24"/>
                <w:lang w:val="en-US" w:eastAsia="zh-CN"/>
              </w:rPr>
              <w:t>公益一类事业单位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Style w:val="51"/>
                <w:rFonts w:ascii="仿宋" w:hAnsi="仿宋" w:eastAsia="仿宋" w:cs="仿宋"/>
                <w:lang w:val="en-US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Style w:val="51"/>
                <w:rFonts w:ascii="仿宋" w:hAnsi="仿宋" w:eastAsia="仿宋" w:cs="仿宋"/>
                <w:lang w:val="en-US"/>
              </w:rPr>
            </w:pP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Style w:val="51"/>
                <w:rFonts w:ascii="仿宋" w:hAnsi="仿宋" w:eastAsia="仿宋" w:cs="仿宋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Style w:val="51"/>
                <w:rFonts w:ascii="仿宋" w:hAnsi="仿宋" w:eastAsia="仿宋" w:cs="仿宋"/>
                <w:lang w:val="en-US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Style w:val="51"/>
                <w:rFonts w:ascii="仿宋" w:hAnsi="仿宋" w:eastAsia="仿宋" w:cs="仿宋"/>
                <w:lang w:val="en-US"/>
              </w:rPr>
            </w:pP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19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Style w:val="51"/>
                <w:rFonts w:ascii="仿宋" w:hAnsi="仿宋" w:eastAsia="仿宋" w:cs="仿宋"/>
                <w:lang w:val="en-US"/>
              </w:rPr>
            </w:pPr>
          </w:p>
        </w:tc>
      </w:tr>
    </w:tbl>
    <w:p>
      <w:pPr>
        <w:framePr w:w="9014" w:wrap="notBeside" w:vAnchor="text" w:hAnchor="page" w:x="1416" w:y="1991"/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仿宋"/>
        </w:rPr>
      </w:pPr>
      <w:r>
        <w:rPr>
          <w:rFonts w:hint="eastAsia" w:ascii="宋体" w:hAnsi="宋体" w:eastAsia="宋体" w:cs="Arial"/>
          <w:color w:val="333333"/>
        </w:rPr>
        <w:t>根据上述职责，石台县广播电视台</w:t>
      </w:r>
      <w:r>
        <w:rPr>
          <w:rFonts w:hint="eastAsia" w:ascii="宋体" w:hAnsi="宋体" w:eastAsia="宋体" w:cs="仿宋"/>
        </w:rPr>
        <w:t>纳入部门预算编制范围的单位共</w:t>
      </w:r>
      <w:r>
        <w:rPr>
          <w:rFonts w:ascii="宋体" w:hAnsi="宋体" w:eastAsia="宋体" w:cs="仿宋"/>
          <w:lang w:val="en-US"/>
        </w:rPr>
        <w:t>1</w:t>
      </w:r>
      <w:r>
        <w:rPr>
          <w:rFonts w:hint="eastAsia" w:ascii="宋体" w:hAnsi="宋体" w:eastAsia="宋体" w:cs="仿宋"/>
        </w:rPr>
        <w:t>个，具体情况见下表。</w:t>
      </w:r>
    </w:p>
    <w:p>
      <w:pPr>
        <w:pStyle w:val="17"/>
        <w:shd w:val="clear" w:color="auto" w:fill="auto"/>
        <w:spacing w:before="694" w:after="65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</w:t>
      </w:r>
      <w:r>
        <w:rPr>
          <w:rFonts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年度主要工作任务</w:t>
      </w:r>
    </w:p>
    <w:p>
      <w:pPr>
        <w:pStyle w:val="19"/>
        <w:shd w:val="clear" w:color="auto" w:fill="auto"/>
        <w:spacing w:before="0" w:after="0" w:line="360" w:lineRule="auto"/>
        <w:ind w:firstLine="76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  <w:sectPr>
          <w:type w:val="continuous"/>
          <w:pgSz w:w="11900" w:h="16840"/>
          <w:pgMar w:top="1920" w:right="1182" w:bottom="1775" w:left="1296" w:header="0" w:footer="3" w:gutter="0"/>
          <w:cols w:space="720" w:num="1"/>
          <w:docGrid w:linePitch="360" w:charSpace="0"/>
        </w:sectPr>
      </w:pPr>
      <w:r>
        <w:rPr>
          <w:rFonts w:hint="eastAsia" w:ascii="仿宋" w:hAnsi="仿宋" w:eastAsia="仿宋" w:cs="仿宋"/>
          <w:sz w:val="32"/>
          <w:szCs w:val="32"/>
        </w:rPr>
        <w:t>坚持以习近平新时代中国特色社会主义思想为指导，深入学习贯彻党的十九大精神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和十九届二中、三中四中全会精神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全面落实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全面发展</w:t>
      </w:r>
      <w:r>
        <w:rPr>
          <w:rFonts w:hint="eastAsia" w:ascii="仿宋" w:hAnsi="仿宋" w:eastAsia="仿宋" w:cs="仿宋"/>
          <w:sz w:val="32"/>
          <w:szCs w:val="32"/>
        </w:rPr>
        <w:t>战略。</w:t>
      </w:r>
      <w:r>
        <w:rPr>
          <w:rFonts w:hint="eastAsia" w:ascii="仿宋" w:hAnsi="仿宋" w:eastAsia="仿宋"/>
          <w:sz w:val="32"/>
          <w:szCs w:val="40"/>
        </w:rPr>
        <w:t>围绕中心工作加强提升广播电视宣传质量和水平，确保全年在中央、省台、市台、县台发稿任务</w:t>
      </w:r>
      <w:r>
        <w:rPr>
          <w:rFonts w:hint="eastAsia" w:ascii="仿宋" w:hAnsi="仿宋" w:eastAsia="仿宋"/>
          <w:sz w:val="32"/>
          <w:szCs w:val="40"/>
          <w:lang w:eastAsia="zh-CN"/>
        </w:rPr>
        <w:t>；</w:t>
      </w:r>
      <w:r>
        <w:rPr>
          <w:rFonts w:hint="eastAsia" w:ascii="仿宋" w:hAnsi="仿宋" w:eastAsia="仿宋"/>
          <w:sz w:val="32"/>
          <w:szCs w:val="40"/>
        </w:rPr>
        <w:t>继续拍摄制作 “游在石台”专题节目</w:t>
      </w:r>
      <w:r>
        <w:rPr>
          <w:rFonts w:hint="eastAsia" w:ascii="仿宋" w:hAnsi="仿宋" w:eastAsia="仿宋"/>
          <w:sz w:val="32"/>
          <w:szCs w:val="40"/>
          <w:lang w:eastAsia="zh-CN"/>
        </w:rPr>
        <w:t>；</w:t>
      </w:r>
      <w:r>
        <w:rPr>
          <w:rFonts w:hint="eastAsia" w:ascii="仿宋" w:hAnsi="仿宋" w:eastAsia="仿宋"/>
          <w:sz w:val="32"/>
          <w:szCs w:val="40"/>
        </w:rPr>
        <w:t>办好石台县旅游交通广播FM87.8</w:t>
      </w:r>
      <w:r>
        <w:rPr>
          <w:rFonts w:hint="eastAsia" w:ascii="仿宋" w:hAnsi="仿宋" w:eastAsia="仿宋"/>
          <w:sz w:val="32"/>
          <w:szCs w:val="40"/>
          <w:lang w:eastAsia="zh-CN"/>
        </w:rPr>
        <w:t>；</w:t>
      </w:r>
      <w:r>
        <w:rPr>
          <w:rFonts w:hint="eastAsia" w:ascii="仿宋" w:hAnsi="仿宋" w:eastAsia="仿宋"/>
          <w:sz w:val="32"/>
          <w:szCs w:val="40"/>
        </w:rPr>
        <w:t>全面启用应急广播系统。开展全年业务练兵，提升全台采编播人员业务能力</w:t>
      </w:r>
      <w:r>
        <w:rPr>
          <w:rFonts w:hint="eastAsia" w:ascii="仿宋" w:hAnsi="仿宋" w:eastAsia="仿宋"/>
          <w:sz w:val="32"/>
          <w:szCs w:val="40"/>
          <w:lang w:eastAsia="zh-CN"/>
        </w:rPr>
        <w:t>；</w:t>
      </w:r>
      <w:r>
        <w:rPr>
          <w:rFonts w:hint="eastAsia" w:ascii="仿宋" w:hAnsi="仿宋" w:eastAsia="仿宋"/>
          <w:sz w:val="32"/>
          <w:szCs w:val="40"/>
        </w:rPr>
        <w:t>创新机制促进媒体融合发展</w:t>
      </w:r>
      <w:r>
        <w:rPr>
          <w:rFonts w:hint="eastAsia" w:ascii="仿宋" w:hAnsi="仿宋" w:eastAsia="仿宋"/>
          <w:sz w:val="32"/>
          <w:szCs w:val="40"/>
          <w:lang w:eastAsia="zh-CN"/>
        </w:rPr>
        <w:t>；</w:t>
      </w:r>
      <w:r>
        <w:rPr>
          <w:rFonts w:ascii="仿宋" w:hAnsi="仿宋" w:eastAsia="仿宋"/>
          <w:sz w:val="32"/>
          <w:szCs w:val="40"/>
        </w:rPr>
        <w:t>做好党建及党风廉政建设工作</w:t>
      </w:r>
      <w:r>
        <w:rPr>
          <w:rFonts w:hint="eastAsia" w:ascii="仿宋" w:hAnsi="仿宋" w:eastAsia="仿宋"/>
          <w:sz w:val="32"/>
          <w:szCs w:val="40"/>
          <w:lang w:eastAsia="zh-CN"/>
        </w:rPr>
        <w:t>；</w:t>
      </w:r>
      <w:r>
        <w:rPr>
          <w:rFonts w:hint="eastAsia" w:ascii="仿宋" w:hAnsi="仿宋" w:eastAsia="仿宋"/>
          <w:sz w:val="32"/>
          <w:szCs w:val="40"/>
        </w:rPr>
        <w:t>继续推进七井山、白石岭、秋浦河源等片区摄影基地建设</w:t>
      </w:r>
      <w:r>
        <w:rPr>
          <w:rFonts w:hint="eastAsia" w:ascii="仿宋" w:hAnsi="仿宋" w:eastAsia="仿宋"/>
          <w:sz w:val="32"/>
          <w:szCs w:val="40"/>
          <w:lang w:eastAsia="zh-CN"/>
        </w:rPr>
        <w:t>；</w:t>
      </w:r>
      <w:r>
        <w:rPr>
          <w:rFonts w:hint="eastAsia" w:ascii="仿宋" w:hAnsi="仿宋" w:eastAsia="仿宋"/>
          <w:sz w:val="32"/>
          <w:szCs w:val="40"/>
        </w:rPr>
        <w:t>与国家级摄影专业媒体举办二次全国摄影大展</w:t>
      </w:r>
      <w:r>
        <w:rPr>
          <w:rFonts w:hint="eastAsia" w:ascii="仿宋" w:hAnsi="仿宋" w:eastAsia="仿宋"/>
          <w:sz w:val="32"/>
          <w:szCs w:val="40"/>
          <w:lang w:eastAsia="zh-CN"/>
        </w:rPr>
        <w:t>；</w:t>
      </w:r>
      <w:r>
        <w:rPr>
          <w:rFonts w:hint="eastAsia" w:ascii="仿宋" w:hAnsi="仿宋" w:eastAsia="仿宋"/>
          <w:sz w:val="32"/>
          <w:szCs w:val="40"/>
        </w:rPr>
        <w:t>完成县委、县政府下达的其他工作目标任务</w:t>
      </w:r>
      <w:r>
        <w:rPr>
          <w:rFonts w:hint="eastAsia" w:ascii="仿宋" w:hAnsi="仿宋" w:eastAsia="仿宋"/>
          <w:sz w:val="32"/>
          <w:szCs w:val="40"/>
          <w:lang w:eastAsia="zh-CN"/>
        </w:rPr>
        <w:t>。</w:t>
      </w: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hint="eastAsia" w:ascii="宋体" w:hAnsi="宋体" w:eastAsia="宋体" w:cs="宋体"/>
        </w:rPr>
      </w:pP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hint="eastAsia" w:ascii="宋体" w:hAnsi="宋体" w:eastAsia="宋体" w:cs="宋体"/>
        </w:rPr>
      </w:pPr>
    </w:p>
    <w:p>
      <w:pPr>
        <w:pStyle w:val="23"/>
        <w:shd w:val="clear" w:color="auto" w:fill="auto"/>
        <w:spacing w:after="0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</w:t>
      </w:r>
      <w:r>
        <w:rPr>
          <w:rFonts w:hint="eastAsia" w:ascii="仿宋" w:hAnsi="仿宋" w:eastAsia="仿宋" w:cs="仿宋"/>
          <w:b/>
          <w:bCs/>
          <w:lang w:eastAsia="zh-CN"/>
        </w:rPr>
        <w:t>二</w:t>
      </w:r>
      <w:r>
        <w:rPr>
          <w:rFonts w:hint="eastAsia" w:ascii="仿宋" w:hAnsi="仿宋" w:eastAsia="仿宋" w:cs="仿宋"/>
          <w:b/>
          <w:bCs/>
        </w:rPr>
        <w:t>部分</w:t>
      </w:r>
      <w:r>
        <w:rPr>
          <w:rFonts w:ascii="仿宋" w:hAnsi="仿宋" w:eastAsia="仿宋" w:cs="仿宋"/>
          <w:b/>
          <w:bCs/>
          <w:lang w:val="en-US"/>
        </w:rPr>
        <w:t xml:space="preserve"> </w:t>
      </w:r>
      <w:r>
        <w:rPr>
          <w:rStyle w:val="25"/>
          <w:rFonts w:ascii="仿宋" w:hAnsi="仿宋" w:eastAsia="仿宋" w:cs="仿宋"/>
          <w:b/>
          <w:bCs/>
          <w:sz w:val="32"/>
          <w:szCs w:val="32"/>
        </w:rPr>
        <w:t>2</w:t>
      </w:r>
      <w:r>
        <w:rPr>
          <w:rStyle w:val="25"/>
          <w:rFonts w:hint="eastAsia" w:ascii="仿宋" w:hAnsi="仿宋" w:eastAsia="仿宋" w:cs="仿宋"/>
          <w:b/>
          <w:bCs/>
          <w:sz w:val="32"/>
          <w:szCs w:val="32"/>
          <w:lang w:val="en-US"/>
        </w:rPr>
        <w:t>020</w:t>
      </w:r>
      <w:r>
        <w:rPr>
          <w:rStyle w:val="25"/>
          <w:rFonts w:hint="eastAsia" w:ascii="仿宋" w:hAnsi="仿宋" w:eastAsia="仿宋" w:cs="仿宋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/>
        </w:rPr>
        <w:t>部门预算情况说明</w:t>
      </w:r>
    </w:p>
    <w:p>
      <w:pPr>
        <w:pStyle w:val="17"/>
        <w:shd w:val="clear" w:color="auto" w:fill="auto"/>
        <w:tabs>
          <w:tab w:val="left" w:pos="1473"/>
        </w:tabs>
        <w:spacing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47"/>
          <w:rFonts w:hint="eastAsia" w:ascii="仿宋" w:hAnsi="仿宋" w:eastAsia="仿宋" w:cs="仿宋"/>
          <w:b w:val="0"/>
          <w:bCs w:val="0"/>
          <w:sz w:val="32"/>
          <w:szCs w:val="32"/>
        </w:rPr>
        <w:t>一、</w:t>
      </w:r>
      <w:r>
        <w:rPr>
          <w:rStyle w:val="47"/>
          <w:rFonts w:ascii="仿宋" w:hAnsi="仿宋" w:eastAsia="仿宋" w:cs="仿宋"/>
          <w:b w:val="0"/>
          <w:bCs w:val="0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</w:t>
      </w:r>
      <w:r>
        <w:rPr>
          <w:rFonts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年财政拨款收支预算总体情况说明</w:t>
      </w: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lang w:val="en-US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年财政拨款收支预算</w:t>
      </w:r>
      <w:r>
        <w:rPr>
          <w:rFonts w:hint="eastAsia" w:ascii="宋体" w:hAnsi="宋体" w:eastAsia="宋体" w:cs="宋体"/>
          <w:lang w:val="en-US" w:eastAsia="zh-CN"/>
        </w:rPr>
        <w:t>190.7</w:t>
      </w:r>
      <w:r>
        <w:rPr>
          <w:rFonts w:hint="eastAsia" w:ascii="宋体" w:hAnsi="宋体" w:eastAsia="宋体" w:cs="宋体"/>
        </w:rPr>
        <w:t>万元。收入按资金来源分</w:t>
      </w:r>
      <w:r>
        <w:rPr>
          <w:rFonts w:hint="eastAsia" w:ascii="宋体" w:hAnsi="宋体" w:eastAsia="宋体" w:cs="宋体"/>
          <w:lang w:eastAsia="zh-CN"/>
        </w:rPr>
        <w:t>全部为；按资金年度分</w:t>
      </w:r>
      <w:r>
        <w:rPr>
          <w:rFonts w:hint="eastAsia" w:ascii="宋体" w:hAnsi="宋体" w:eastAsia="宋体" w:cs="宋体"/>
        </w:rPr>
        <w:t>一般公共预算拨款；按资金年度分</w:t>
      </w:r>
      <w:r>
        <w:rPr>
          <w:rFonts w:hint="eastAsia" w:ascii="宋体" w:hAnsi="宋体" w:eastAsia="宋体" w:cs="宋体"/>
          <w:lang w:eastAsia="zh-CN"/>
        </w:rPr>
        <w:t>全部</w:t>
      </w:r>
      <w:r>
        <w:rPr>
          <w:rFonts w:hint="eastAsia" w:ascii="宋体" w:hAnsi="宋体" w:eastAsia="宋体" w:cs="宋体"/>
        </w:rPr>
        <w:t>为</w:t>
      </w:r>
      <w:r>
        <w:rPr>
          <w:rFonts w:hint="eastAsia" w:ascii="宋体" w:hAnsi="宋体" w:eastAsia="宋体" w:cs="宋体"/>
          <w:lang w:eastAsia="zh-CN"/>
        </w:rPr>
        <w:t>当年财政拨款收入</w:t>
      </w:r>
      <w:r>
        <w:rPr>
          <w:rFonts w:hint="eastAsia" w:ascii="宋体" w:hAnsi="宋体" w:eastAsia="宋体" w:cs="宋体"/>
        </w:rPr>
        <w:t>。支出按功能分类分为：</w:t>
      </w:r>
      <w:r>
        <w:rPr>
          <w:rFonts w:hint="eastAsia" w:ascii="宋体" w:hAnsi="宋体" w:eastAsia="宋体" w:cs="宋体"/>
          <w:lang w:eastAsia="zh-CN"/>
        </w:rPr>
        <w:t>文化体育与传媒支出</w:t>
      </w:r>
      <w:r>
        <w:rPr>
          <w:rFonts w:hint="eastAsia" w:ascii="宋体" w:hAnsi="宋体" w:eastAsia="宋体" w:cs="宋体"/>
          <w:lang w:val="en-US" w:eastAsia="zh-CN"/>
        </w:rPr>
        <w:t>160.6万元，占84.2%；</w:t>
      </w:r>
      <w:r>
        <w:rPr>
          <w:rFonts w:hint="eastAsia" w:ascii="宋体" w:hAnsi="宋体" w:eastAsia="宋体" w:cs="宋体"/>
        </w:rPr>
        <w:t>社会保障和就业支出</w:t>
      </w:r>
      <w:r>
        <w:rPr>
          <w:rFonts w:ascii="宋体" w:hAnsi="宋体" w:eastAsia="宋体" w:cs="宋体"/>
          <w:lang w:val="en-US"/>
        </w:rPr>
        <w:t>1</w:t>
      </w:r>
      <w:r>
        <w:rPr>
          <w:rFonts w:hint="eastAsia" w:ascii="宋体" w:hAnsi="宋体" w:eastAsia="宋体" w:cs="宋体"/>
          <w:lang w:val="en-US" w:eastAsia="zh-CN"/>
        </w:rPr>
        <w:t>3.9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7.3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  <w:lang w:val="en-US"/>
        </w:rPr>
        <w:t>；</w:t>
      </w:r>
      <w:r>
        <w:rPr>
          <w:rFonts w:hint="eastAsia" w:ascii="宋体" w:hAnsi="宋体" w:eastAsia="宋体" w:cs="宋体"/>
        </w:rPr>
        <w:t>医疗卫生与计划生育支出</w:t>
      </w:r>
      <w:r>
        <w:rPr>
          <w:rFonts w:hint="eastAsia" w:ascii="宋体" w:hAnsi="宋体" w:eastAsia="宋体" w:cs="宋体"/>
          <w:lang w:val="en-US" w:eastAsia="zh-CN"/>
        </w:rPr>
        <w:t>5.9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3.1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；住房保障支出</w:t>
      </w:r>
      <w:r>
        <w:rPr>
          <w:rFonts w:hint="eastAsia" w:ascii="宋体" w:hAnsi="宋体" w:eastAsia="宋体" w:cs="宋体"/>
          <w:lang w:val="en-US" w:eastAsia="zh-CN"/>
        </w:rPr>
        <w:t>10.3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5.4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  <w:lang w:val="en-US"/>
        </w:rPr>
        <w:t>；对个人和家庭的补助支出</w:t>
      </w:r>
      <w:r>
        <w:rPr>
          <w:rFonts w:hint="eastAsia" w:ascii="宋体" w:hAnsi="宋体" w:eastAsia="宋体" w:cs="宋体"/>
          <w:lang w:val="en-US" w:eastAsia="zh-CN"/>
        </w:rPr>
        <w:t>10.4</w:t>
      </w:r>
      <w:r>
        <w:rPr>
          <w:rFonts w:hint="eastAsia" w:ascii="宋体" w:hAnsi="宋体" w:eastAsia="宋体" w:cs="宋体"/>
          <w:lang w:val="en-US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5.5</w:t>
      </w:r>
      <w:r>
        <w:rPr>
          <w:rFonts w:ascii="宋体" w:hAnsi="宋体" w:eastAsia="宋体" w:cs="宋体"/>
          <w:lang w:val="en-US"/>
        </w:rPr>
        <w:t>%</w:t>
      </w:r>
      <w:r>
        <w:rPr>
          <w:rFonts w:hint="eastAsia" w:ascii="宋体" w:hAnsi="宋体" w:eastAsia="宋体" w:cs="宋体"/>
          <w:lang w:val="en-US"/>
        </w:rPr>
        <w:t>；定额支出</w:t>
      </w:r>
      <w:r>
        <w:rPr>
          <w:rFonts w:hint="eastAsia" w:ascii="宋体" w:hAnsi="宋体" w:eastAsia="宋体" w:cs="宋体"/>
          <w:lang w:val="en-US" w:eastAsia="zh-CN"/>
        </w:rPr>
        <w:t>1</w:t>
      </w:r>
      <w:r>
        <w:rPr>
          <w:rFonts w:ascii="宋体" w:hAnsi="宋体" w:eastAsia="宋体" w:cs="宋体"/>
          <w:lang w:val="en-US"/>
        </w:rPr>
        <w:t>7.7</w:t>
      </w:r>
      <w:r>
        <w:rPr>
          <w:rFonts w:hint="eastAsia" w:ascii="宋体" w:hAnsi="宋体" w:eastAsia="宋体" w:cs="宋体"/>
          <w:lang w:val="en-US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9.3</w:t>
      </w:r>
      <w:r>
        <w:rPr>
          <w:rFonts w:ascii="宋体" w:hAnsi="宋体" w:eastAsia="宋体" w:cs="宋体"/>
          <w:lang w:val="en-US"/>
        </w:rPr>
        <w:t>%</w:t>
      </w:r>
      <w:r>
        <w:rPr>
          <w:rFonts w:hint="eastAsia" w:ascii="宋体" w:hAnsi="宋体" w:eastAsia="宋体" w:cs="宋体"/>
          <w:lang w:val="en-US"/>
        </w:rPr>
        <w:t>。</w:t>
      </w:r>
    </w:p>
    <w:p>
      <w:pPr>
        <w:pStyle w:val="17"/>
        <w:shd w:val="clear" w:color="auto" w:fill="auto"/>
        <w:tabs>
          <w:tab w:val="left" w:pos="1473"/>
        </w:tabs>
        <w:spacing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48"/>
          <w:rFonts w:hint="eastAsia" w:ascii="仿宋" w:hAnsi="仿宋" w:eastAsia="仿宋" w:cs="仿宋"/>
          <w:b w:val="0"/>
          <w:bCs w:val="0"/>
          <w:sz w:val="32"/>
          <w:szCs w:val="32"/>
        </w:rPr>
        <w:t>二、</w:t>
      </w:r>
      <w:r>
        <w:rPr>
          <w:rStyle w:val="48"/>
          <w:rFonts w:ascii="仿宋" w:hAnsi="仿宋" w:eastAsia="仿宋" w:cs="仿宋"/>
          <w:b w:val="0"/>
          <w:bCs w:val="0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</w:t>
      </w:r>
      <w:r>
        <w:rPr>
          <w:rFonts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年一般公共预算拨款情况说明</w:t>
      </w:r>
    </w:p>
    <w:p>
      <w:pPr>
        <w:pStyle w:val="50"/>
        <w:shd w:val="clear" w:color="auto" w:fill="auto"/>
        <w:tabs>
          <w:tab w:val="left" w:pos="1573"/>
        </w:tabs>
        <w:spacing w:line="360" w:lineRule="auto"/>
        <w:ind w:firstLine="60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（一）一般公共预算拨款规模变化情况。</w:t>
      </w:r>
    </w:p>
    <w:p>
      <w:pPr>
        <w:pStyle w:val="19"/>
        <w:shd w:val="clear" w:color="auto" w:fill="auto"/>
        <w:spacing w:line="360" w:lineRule="auto"/>
        <w:ind w:firstLine="720" w:firstLineChars="200"/>
        <w:rPr>
          <w:rFonts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lang w:val="en-US"/>
        </w:rPr>
        <w:t>石台广播电视台</w:t>
      </w:r>
      <w:r>
        <w:rPr>
          <w:rFonts w:hint="eastAsia" w:ascii="宋体" w:hAnsi="宋体" w:eastAsia="宋体" w:cs="宋体"/>
          <w:lang w:val="en-US" w:eastAsia="zh-CN"/>
        </w:rPr>
        <w:t>2020</w:t>
      </w:r>
      <w:r>
        <w:rPr>
          <w:rFonts w:hint="eastAsia" w:ascii="宋体" w:hAnsi="宋体" w:eastAsia="宋体" w:cs="宋体"/>
        </w:rPr>
        <w:t>年一般公共预算拨款</w:t>
      </w:r>
      <w:r>
        <w:rPr>
          <w:rFonts w:hint="eastAsia" w:ascii="宋体" w:hAnsi="宋体" w:eastAsia="宋体" w:cs="宋体"/>
          <w:lang w:val="en-US" w:eastAsia="zh-CN"/>
        </w:rPr>
        <w:t>190.7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201</w:t>
      </w:r>
      <w:r>
        <w:rPr>
          <w:rFonts w:hint="eastAsia" w:ascii="宋体" w:hAnsi="宋体" w:eastAsia="宋体" w:cs="宋体"/>
          <w:lang w:val="en-US" w:eastAsia="zh-CN"/>
        </w:rPr>
        <w:t>9</w:t>
      </w:r>
      <w:r>
        <w:rPr>
          <w:rFonts w:hint="eastAsia" w:ascii="宋体" w:hAnsi="宋体" w:eastAsia="宋体" w:cs="宋体"/>
        </w:rPr>
        <w:t>年预算拨款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33.6</w:t>
      </w:r>
      <w:r>
        <w:rPr>
          <w:rFonts w:hint="eastAsia" w:ascii="宋体" w:hAnsi="宋体" w:eastAsia="宋体" w:cs="宋体"/>
        </w:rPr>
        <w:t>万元，原因主要是</w:t>
      </w:r>
      <w:r>
        <w:rPr>
          <w:rFonts w:hint="eastAsia" w:ascii="宋体" w:hAnsi="宋体" w:eastAsia="宋体" w:cs="宋体"/>
          <w:lang w:val="en-US"/>
        </w:rPr>
        <w:t>人员变动。</w:t>
      </w:r>
    </w:p>
    <w:p>
      <w:pPr>
        <w:pStyle w:val="50"/>
        <w:shd w:val="clear" w:color="auto" w:fill="auto"/>
        <w:tabs>
          <w:tab w:val="left" w:pos="1578"/>
        </w:tabs>
        <w:spacing w:line="360" w:lineRule="auto"/>
        <w:ind w:firstLine="60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（二）一般公共预算拨款结构情况。</w:t>
      </w: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文化体育与传媒支出</w:t>
      </w:r>
      <w:r>
        <w:rPr>
          <w:rFonts w:hint="eastAsia" w:ascii="宋体" w:hAnsi="宋体" w:eastAsia="宋体" w:cs="宋体"/>
          <w:lang w:val="en-US" w:eastAsia="zh-CN"/>
        </w:rPr>
        <w:t>160.6万元，占84.2%；</w:t>
      </w:r>
      <w:r>
        <w:rPr>
          <w:rFonts w:hint="eastAsia" w:ascii="宋体" w:hAnsi="宋体" w:eastAsia="宋体" w:cs="宋体"/>
        </w:rPr>
        <w:t>社会保障和就业支出</w:t>
      </w:r>
      <w:r>
        <w:rPr>
          <w:rFonts w:ascii="宋体" w:hAnsi="宋体" w:eastAsia="宋体" w:cs="宋体"/>
          <w:lang w:val="en-US"/>
        </w:rPr>
        <w:t>1</w:t>
      </w:r>
      <w:r>
        <w:rPr>
          <w:rFonts w:hint="eastAsia" w:ascii="宋体" w:hAnsi="宋体" w:eastAsia="宋体" w:cs="宋体"/>
          <w:lang w:val="en-US" w:eastAsia="zh-CN"/>
        </w:rPr>
        <w:t>3.9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7.3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；医疗卫生与计划生</w:t>
      </w:r>
      <w:r>
        <w:rPr>
          <w:rFonts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</w:rPr>
        <w:t>育支出</w:t>
      </w:r>
      <w:r>
        <w:rPr>
          <w:rFonts w:hint="eastAsia" w:ascii="宋体" w:hAnsi="宋体" w:eastAsia="宋体" w:cs="宋体"/>
          <w:lang w:val="en-US" w:eastAsia="zh-CN"/>
        </w:rPr>
        <w:t>5.9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3.1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；住房保障支出</w:t>
      </w:r>
      <w:r>
        <w:rPr>
          <w:rFonts w:hint="eastAsia" w:ascii="宋体" w:hAnsi="宋体" w:eastAsia="宋体" w:cs="宋体"/>
          <w:lang w:val="en-US" w:eastAsia="zh-CN"/>
        </w:rPr>
        <w:t>10.3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5.5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。</w:t>
      </w:r>
    </w:p>
    <w:p>
      <w:pPr>
        <w:pStyle w:val="50"/>
        <w:numPr>
          <w:ilvl w:val="0"/>
          <w:numId w:val="3"/>
        </w:numPr>
        <w:shd w:val="clear" w:color="auto" w:fill="auto"/>
        <w:tabs>
          <w:tab w:val="left" w:pos="1578"/>
        </w:tabs>
        <w:spacing w:line="360" w:lineRule="auto"/>
        <w:ind w:firstLine="600" w:firstLineChars="20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一般公共预算拨款具体使用情况。</w:t>
      </w:r>
    </w:p>
    <w:p>
      <w:pPr>
        <w:pStyle w:val="50"/>
        <w:numPr>
          <w:ilvl w:val="0"/>
          <w:numId w:val="4"/>
        </w:numPr>
        <w:shd w:val="clear" w:color="auto" w:fill="auto"/>
        <w:tabs>
          <w:tab w:val="left" w:pos="1578"/>
          <w:tab w:val="clear" w:pos="312"/>
        </w:tabs>
        <w:spacing w:line="360" w:lineRule="auto"/>
        <w:ind w:firstLine="602" w:firstLineChars="200"/>
        <w:jc w:val="both"/>
        <w:rPr>
          <w:rFonts w:hint="default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文化体育与传媒支出（类）广播电视（款）行政运行（项）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2020年预算104.5万元，比2019年预算增加47.97万元，增加84.85%，增加原因主要是在职人员增加，对应各项费用增加。</w:t>
      </w:r>
    </w:p>
    <w:p>
      <w:pPr>
        <w:pStyle w:val="19"/>
        <w:shd w:val="clear" w:color="auto" w:fill="auto"/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1"/>
          <w:rFonts w:hint="eastAsia" w:ascii="宋体" w:hAnsi="宋体" w:eastAsia="宋体" w:cs="宋体"/>
          <w:lang w:val="en-US"/>
        </w:rPr>
        <w:t>2</w:t>
      </w:r>
      <w:r>
        <w:rPr>
          <w:rStyle w:val="21"/>
          <w:rFonts w:ascii="宋体" w:hAnsi="宋体" w:eastAsia="宋体" w:cs="宋体"/>
          <w:lang w:val="en-US"/>
        </w:rPr>
        <w:t xml:space="preserve">. </w:t>
      </w:r>
      <w:r>
        <w:rPr>
          <w:rStyle w:val="21"/>
          <w:rFonts w:hint="eastAsia" w:ascii="宋体" w:hAnsi="宋体" w:eastAsia="宋体" w:cs="宋体"/>
        </w:rPr>
        <w:t>社会保障和就业支出（类）行政事业单位离退休（款）机关事业单位基本养老保险费支出（项）</w:t>
      </w:r>
      <w:r>
        <w:rPr>
          <w:rStyle w:val="21"/>
          <w:rFonts w:ascii="宋体" w:hAnsi="宋体" w:eastAsia="宋体" w:cs="宋体"/>
        </w:rPr>
        <w:t xml:space="preserve"> 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年预算</w:t>
      </w:r>
      <w:r>
        <w:rPr>
          <w:rFonts w:ascii="宋体" w:hAnsi="宋体" w:eastAsia="宋体" w:cs="宋体"/>
          <w:lang w:val="en-US"/>
        </w:rPr>
        <w:t>1</w:t>
      </w:r>
      <w:r>
        <w:rPr>
          <w:rFonts w:hint="eastAsia" w:ascii="宋体" w:hAnsi="宋体" w:eastAsia="宋体" w:cs="宋体"/>
          <w:lang w:val="en-US" w:eastAsia="zh-CN"/>
        </w:rPr>
        <w:t>3.9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201</w:t>
      </w:r>
      <w:r>
        <w:rPr>
          <w:rFonts w:hint="eastAsia" w:ascii="宋体" w:hAnsi="宋体" w:eastAsia="宋体" w:cs="宋体"/>
          <w:lang w:val="en-US" w:eastAsia="zh-CN"/>
        </w:rPr>
        <w:t>9</w:t>
      </w:r>
      <w:r>
        <w:rPr>
          <w:rFonts w:hint="eastAsia" w:ascii="宋体" w:hAnsi="宋体" w:eastAsia="宋体" w:cs="宋体"/>
        </w:rPr>
        <w:t>年预算减少</w:t>
      </w:r>
      <w:r>
        <w:rPr>
          <w:rFonts w:hint="eastAsia" w:ascii="宋体" w:hAnsi="宋体" w:eastAsia="宋体" w:cs="宋体"/>
          <w:lang w:val="en-US" w:eastAsia="zh-CN"/>
        </w:rPr>
        <w:t>5.3</w:t>
      </w:r>
      <w:r>
        <w:rPr>
          <w:rFonts w:hint="eastAsia" w:ascii="宋体" w:hAnsi="宋体" w:eastAsia="宋体" w:cs="宋体"/>
        </w:rPr>
        <w:t>万元，减少</w:t>
      </w:r>
      <w:r>
        <w:rPr>
          <w:rFonts w:hint="eastAsia" w:ascii="宋体" w:hAnsi="宋体" w:eastAsia="宋体" w:cs="宋体"/>
          <w:lang w:val="en-US" w:eastAsia="zh-CN"/>
        </w:rPr>
        <w:t>27.6</w:t>
      </w:r>
      <w:r>
        <w:rPr>
          <w:rFonts w:ascii="宋体" w:hAnsi="宋体" w:eastAsia="宋体" w:cs="宋体"/>
        </w:rPr>
        <w:t>%,</w:t>
      </w:r>
      <w:r>
        <w:rPr>
          <w:rFonts w:hint="eastAsia" w:ascii="宋体" w:hAnsi="宋体" w:eastAsia="宋体" w:cs="宋体"/>
        </w:rPr>
        <w:t>减少原因主要是</w:t>
      </w:r>
      <w:r>
        <w:rPr>
          <w:rFonts w:hint="eastAsia" w:ascii="宋体" w:hAnsi="宋体" w:eastAsia="宋体" w:cs="宋体"/>
          <w:lang w:eastAsia="zh-CN"/>
        </w:rPr>
        <w:t>按照</w:t>
      </w:r>
      <w:r>
        <w:rPr>
          <w:rFonts w:hint="eastAsia" w:ascii="宋体" w:hAnsi="宋体" w:eastAsia="宋体" w:cs="宋体"/>
          <w:lang w:val="en-US" w:eastAsia="zh-CN"/>
        </w:rPr>
        <w:t>2020年相关政策要求，降低了机关事业单位基本养老保险的费率</w:t>
      </w:r>
      <w:r>
        <w:rPr>
          <w:rFonts w:hint="eastAsia" w:ascii="宋体" w:hAnsi="宋体" w:eastAsia="宋体" w:cs="宋体"/>
        </w:rPr>
        <w:t>。</w:t>
      </w:r>
      <w:r>
        <w:rPr>
          <w:rFonts w:ascii="宋体" w:hAnsi="宋体" w:eastAsia="宋体" w:cs="宋体"/>
        </w:rPr>
        <w:t xml:space="preserve"> </w:t>
      </w:r>
    </w:p>
    <w:p>
      <w:pPr>
        <w:pStyle w:val="19"/>
        <w:numPr>
          <w:ilvl w:val="0"/>
          <w:numId w:val="0"/>
        </w:numPr>
        <w:shd w:val="clear" w:color="auto" w:fill="auto"/>
        <w:tabs>
          <w:tab w:val="left" w:pos="1107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1"/>
          <w:rFonts w:hint="eastAsia" w:ascii="宋体" w:hAnsi="宋体" w:eastAsia="宋体" w:cs="宋体"/>
          <w:lang w:val="en-US"/>
        </w:rPr>
        <w:t>3.</w:t>
      </w:r>
      <w:r>
        <w:rPr>
          <w:rStyle w:val="21"/>
          <w:rFonts w:hint="eastAsia" w:ascii="宋体" w:hAnsi="宋体" w:eastAsia="宋体" w:cs="宋体"/>
        </w:rPr>
        <w:t>医疗卫生与计划生育支出（类）财政对</w:t>
      </w:r>
      <w:r>
        <w:rPr>
          <w:rStyle w:val="21"/>
          <w:rFonts w:hint="eastAsia" w:ascii="宋体" w:hAnsi="宋体" w:eastAsia="宋体" w:cs="宋体"/>
          <w:lang w:val="en-US"/>
        </w:rPr>
        <w:t>基本医疗保险基金的补助（款）基本医疗保险（项）</w:t>
      </w:r>
      <w:r>
        <w:rPr>
          <w:rFonts w:ascii="宋体" w:hAnsi="宋体" w:eastAsia="宋体" w:cs="宋体"/>
        </w:rPr>
        <w:t xml:space="preserve"> 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val="en-US" w:eastAsia="zh-CN"/>
        </w:rPr>
        <w:t>5.9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201</w:t>
      </w:r>
      <w:r>
        <w:rPr>
          <w:rFonts w:hint="eastAsia" w:ascii="宋体" w:hAnsi="宋体" w:eastAsia="宋体" w:cs="宋体"/>
          <w:lang w:val="en-US" w:eastAsia="zh-CN"/>
        </w:rPr>
        <w:t>9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2.22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60.3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</w:rPr>
        <w:t>原因主要是</w:t>
      </w:r>
      <w:r>
        <w:rPr>
          <w:rFonts w:hint="eastAsia" w:ascii="宋体" w:hAnsi="宋体" w:eastAsia="宋体" w:cs="宋体"/>
          <w:lang w:eastAsia="zh-CN"/>
        </w:rPr>
        <w:t>医疗保险等支出随</w:t>
      </w:r>
      <w:r>
        <w:rPr>
          <w:rFonts w:hint="eastAsia" w:ascii="宋体" w:hAnsi="宋体" w:eastAsia="宋体" w:cs="宋体"/>
          <w:lang w:val="en-US"/>
        </w:rPr>
        <w:t>人员变动</w:t>
      </w:r>
      <w:r>
        <w:rPr>
          <w:rFonts w:hint="eastAsia" w:ascii="宋体" w:hAnsi="宋体" w:eastAsia="宋体" w:cs="宋体"/>
          <w:lang w:val="en-US" w:eastAsia="zh-CN"/>
        </w:rPr>
        <w:t>而变动</w:t>
      </w:r>
      <w:r>
        <w:rPr>
          <w:rFonts w:hint="eastAsia" w:ascii="宋体" w:hAnsi="宋体" w:eastAsia="宋体" w:cs="宋体"/>
        </w:rPr>
        <w:t>。</w:t>
      </w:r>
    </w:p>
    <w:p>
      <w:pPr>
        <w:pStyle w:val="19"/>
        <w:numPr>
          <w:ilvl w:val="0"/>
          <w:numId w:val="0"/>
        </w:numPr>
        <w:shd w:val="clear" w:color="auto" w:fill="auto"/>
        <w:tabs>
          <w:tab w:val="left" w:pos="1107"/>
        </w:tabs>
        <w:spacing w:line="360" w:lineRule="auto"/>
        <w:ind w:firstLine="722" w:firstLineChars="200"/>
        <w:rPr>
          <w:rFonts w:ascii="宋体" w:hAnsi="宋体" w:eastAsia="宋体" w:cs="宋体"/>
        </w:rPr>
      </w:pPr>
      <w:r>
        <w:rPr>
          <w:rStyle w:val="21"/>
          <w:rFonts w:hint="eastAsia" w:ascii="宋体" w:hAnsi="宋体" w:eastAsia="宋体" w:cs="宋体"/>
          <w:lang w:val="en-US"/>
        </w:rPr>
        <w:t>4.</w:t>
      </w:r>
      <w:r>
        <w:rPr>
          <w:rStyle w:val="21"/>
          <w:rFonts w:hint="eastAsia" w:ascii="宋体" w:hAnsi="宋体" w:eastAsia="宋体" w:cs="宋体"/>
        </w:rPr>
        <w:t>住房保障支出</w:t>
      </w:r>
      <w:r>
        <w:rPr>
          <w:rStyle w:val="21"/>
          <w:rFonts w:ascii="宋体" w:hAnsi="宋体" w:eastAsia="宋体" w:cs="宋体"/>
        </w:rPr>
        <w:t xml:space="preserve"> </w:t>
      </w:r>
      <w:r>
        <w:rPr>
          <w:rStyle w:val="21"/>
          <w:rFonts w:hint="eastAsia" w:ascii="宋体" w:hAnsi="宋体" w:eastAsia="宋体" w:cs="宋体"/>
        </w:rPr>
        <w:t>（类）住房改革支出（款）住房公积金（项）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年预</w:t>
      </w:r>
      <w:r>
        <w:rPr>
          <w:rFonts w:hint="eastAsia" w:ascii="宋体" w:hAnsi="宋体" w:eastAsia="宋体" w:cs="宋体"/>
          <w:lang w:val="en-US"/>
        </w:rPr>
        <w:t>算</w:t>
      </w:r>
      <w:r>
        <w:rPr>
          <w:rFonts w:hint="eastAsia" w:ascii="宋体" w:hAnsi="宋体" w:eastAsia="宋体" w:cs="宋体"/>
          <w:lang w:val="en-US" w:eastAsia="zh-CN"/>
        </w:rPr>
        <w:t>10.3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201</w:t>
      </w:r>
      <w:r>
        <w:rPr>
          <w:rFonts w:hint="eastAsia" w:ascii="宋体" w:hAnsi="宋体" w:eastAsia="宋体" w:cs="宋体"/>
          <w:lang w:val="en-US" w:eastAsia="zh-CN"/>
        </w:rPr>
        <w:t>9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5.3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80.3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</w:rPr>
        <w:t>原因主要</w:t>
      </w:r>
      <w:r>
        <w:rPr>
          <w:rFonts w:hint="eastAsia" w:ascii="宋体" w:hAnsi="宋体" w:eastAsia="宋体" w:cs="宋体"/>
          <w:lang w:val="en-US"/>
        </w:rPr>
        <w:t>是</w:t>
      </w:r>
      <w:r>
        <w:rPr>
          <w:rFonts w:hint="eastAsia" w:ascii="宋体" w:hAnsi="宋体" w:eastAsia="宋体" w:cs="宋体"/>
          <w:lang w:val="en-US" w:eastAsia="zh-CN"/>
        </w:rPr>
        <w:t>提租补贴随工资基数增长而增长</w:t>
      </w:r>
      <w:r>
        <w:rPr>
          <w:rFonts w:hint="eastAsia" w:ascii="宋体" w:hAnsi="宋体" w:eastAsia="宋体" w:cs="宋体"/>
        </w:rPr>
        <w:t>。</w:t>
      </w:r>
    </w:p>
    <w:p>
      <w:pPr>
        <w:pStyle w:val="17"/>
        <w:shd w:val="clear" w:color="auto" w:fill="auto"/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三、关于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年一般公共预算基本支出情况说明</w:t>
      </w:r>
    </w:p>
    <w:p>
      <w:pPr>
        <w:pStyle w:val="19"/>
        <w:shd w:val="clear" w:color="auto" w:fill="auto"/>
        <w:spacing w:line="360" w:lineRule="auto"/>
        <w:ind w:firstLine="7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年一般公共预算基本支出</w:t>
      </w:r>
      <w:r>
        <w:rPr>
          <w:rFonts w:hint="eastAsia" w:ascii="宋体" w:hAnsi="宋体" w:eastAsia="宋体" w:cs="宋体"/>
          <w:lang w:val="en-US" w:eastAsia="zh-CN"/>
        </w:rPr>
        <w:t>134.7</w:t>
      </w:r>
      <w:r>
        <w:rPr>
          <w:rFonts w:hint="eastAsia" w:ascii="宋体" w:hAnsi="宋体" w:eastAsia="宋体" w:cs="宋体"/>
        </w:rPr>
        <w:t>万元，其中：</w:t>
      </w:r>
    </w:p>
    <w:p>
      <w:pPr>
        <w:pStyle w:val="19"/>
        <w:shd w:val="clear" w:color="auto" w:fill="auto"/>
        <w:spacing w:line="360" w:lineRule="auto"/>
        <w:ind w:firstLine="7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工资福利支出</w:t>
      </w:r>
      <w:r>
        <w:rPr>
          <w:rFonts w:hint="eastAsia" w:ascii="宋体" w:hAnsi="宋体" w:eastAsia="宋体" w:cs="宋体"/>
          <w:lang w:val="en-US" w:eastAsia="zh-CN"/>
        </w:rPr>
        <w:t>116.9</w:t>
      </w:r>
      <w:r>
        <w:rPr>
          <w:rFonts w:hint="eastAsia" w:ascii="宋体" w:hAnsi="宋体" w:eastAsia="宋体" w:cs="宋体"/>
        </w:rPr>
        <w:t>万元，主要包括：基本工资、津贴补贴、奖金、机关事业单位基本养老保险缴费、城镇职工基本医疗保险缴费、其他社会保障缴费、住房公积金、医疗费</w:t>
      </w:r>
      <w:r>
        <w:rPr>
          <w:rFonts w:hint="eastAsia" w:ascii="宋体" w:hAnsi="宋体" w:eastAsia="宋体" w:cs="宋体"/>
          <w:lang w:eastAsia="zh-CN"/>
        </w:rPr>
        <w:t>等</w:t>
      </w:r>
      <w:r>
        <w:rPr>
          <w:rFonts w:hint="eastAsia" w:ascii="宋体" w:hAnsi="宋体" w:eastAsia="宋体" w:cs="宋体"/>
        </w:rPr>
        <w:t>。</w:t>
      </w: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商品和服务支出</w:t>
      </w:r>
      <w:r>
        <w:rPr>
          <w:rFonts w:hint="eastAsia" w:ascii="宋体" w:hAnsi="宋体" w:eastAsia="宋体" w:cs="宋体"/>
          <w:lang w:val="en-US" w:eastAsia="zh-CN"/>
        </w:rPr>
        <w:t>17.7</w:t>
      </w:r>
      <w:r>
        <w:rPr>
          <w:rFonts w:hint="eastAsia" w:ascii="宋体" w:hAnsi="宋体" w:eastAsia="宋体" w:cs="宋体"/>
        </w:rPr>
        <w:t>万元，主要包括：办公费、</w:t>
      </w:r>
      <w:r>
        <w:rPr>
          <w:rFonts w:hint="eastAsia" w:ascii="宋体" w:hAnsi="宋体" w:eastAsia="宋体" w:cs="宋体"/>
          <w:lang w:eastAsia="zh-CN"/>
        </w:rPr>
        <w:t>差旅费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lang w:eastAsia="zh-CN"/>
        </w:rPr>
        <w:t>维修（护）费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lang w:eastAsia="zh-CN"/>
        </w:rPr>
        <w:t>公务接待费</w:t>
      </w:r>
      <w:r>
        <w:rPr>
          <w:rFonts w:hint="eastAsia" w:ascii="宋体" w:hAnsi="宋体" w:eastAsia="宋体" w:cs="宋体"/>
        </w:rPr>
        <w:t>、工会经费</w:t>
      </w:r>
      <w:r>
        <w:rPr>
          <w:rFonts w:hint="eastAsia" w:ascii="宋体" w:hAnsi="宋体" w:eastAsia="宋体" w:cs="宋体"/>
          <w:lang w:eastAsia="zh-CN"/>
        </w:rPr>
        <w:t>等</w:t>
      </w:r>
      <w:r>
        <w:rPr>
          <w:rFonts w:hint="eastAsia" w:ascii="宋体" w:hAnsi="宋体" w:eastAsia="宋体" w:cs="宋体"/>
        </w:rPr>
        <w:t>。</w:t>
      </w:r>
    </w:p>
    <w:p>
      <w:pPr>
        <w:pStyle w:val="19"/>
        <w:shd w:val="clear" w:color="auto" w:fill="auto"/>
        <w:spacing w:line="360" w:lineRule="auto"/>
        <w:ind w:firstLine="7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对个人和家庭的补助</w:t>
      </w:r>
      <w:r>
        <w:rPr>
          <w:rFonts w:hint="eastAsia" w:ascii="宋体" w:hAnsi="宋体" w:eastAsia="宋体" w:cs="宋体"/>
          <w:lang w:val="en-US" w:eastAsia="zh-CN"/>
        </w:rPr>
        <w:t>10.4</w:t>
      </w:r>
      <w:r>
        <w:rPr>
          <w:rFonts w:hint="eastAsia" w:ascii="宋体" w:hAnsi="宋体" w:eastAsia="宋体" w:cs="宋体"/>
        </w:rPr>
        <w:t>万元，主要包括：退休费、医疗费补助、其他对个人和家庭的补助支出</w:t>
      </w:r>
      <w:r>
        <w:rPr>
          <w:rFonts w:hint="eastAsia" w:ascii="宋体" w:hAnsi="宋体" w:eastAsia="宋体" w:cs="宋体"/>
          <w:lang w:eastAsia="zh-CN"/>
        </w:rPr>
        <w:t>等</w:t>
      </w:r>
      <w:r>
        <w:rPr>
          <w:rFonts w:hint="eastAsia" w:ascii="宋体" w:hAnsi="宋体" w:eastAsia="宋体" w:cs="宋体"/>
        </w:rPr>
        <w:t>。</w:t>
      </w:r>
    </w:p>
    <w:p>
      <w:pPr>
        <w:pStyle w:val="17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四、</w:t>
      </w:r>
      <w:r>
        <w:rPr>
          <w:rFonts w:ascii="宋体" w:hAnsi="宋体" w:eastAsia="宋体" w:cs="宋体"/>
        </w:rPr>
        <w:tab/>
      </w:r>
      <w:r>
        <w:rPr>
          <w:rFonts w:hint="eastAsia" w:ascii="宋体" w:hAnsi="宋体" w:eastAsia="宋体" w:cs="宋体"/>
        </w:rPr>
        <w:t>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年政府性基金预算拨款情况说明</w:t>
      </w:r>
    </w:p>
    <w:p>
      <w:pPr>
        <w:pStyle w:val="19"/>
        <w:shd w:val="clear" w:color="auto" w:fill="auto"/>
        <w:spacing w:line="360" w:lineRule="auto"/>
        <w:ind w:firstLine="7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eastAsia="zh-CN"/>
        </w:rPr>
        <w:t>没有</w:t>
      </w:r>
      <w:r>
        <w:rPr>
          <w:rFonts w:hint="eastAsia" w:ascii="宋体" w:hAnsi="宋体" w:eastAsia="宋体" w:cs="宋体"/>
        </w:rPr>
        <w:t>政府性基金预算</w:t>
      </w:r>
      <w:r>
        <w:rPr>
          <w:rFonts w:hint="eastAsia" w:ascii="宋体" w:hAnsi="宋体" w:eastAsia="宋体" w:cs="宋体"/>
          <w:lang w:eastAsia="zh-CN"/>
        </w:rPr>
        <w:t>拨款收入，也没有使用政府性基金预算拨款安排的支出</w:t>
      </w:r>
      <w:r>
        <w:rPr>
          <w:rFonts w:hint="eastAsia" w:ascii="宋体" w:hAnsi="宋体" w:eastAsia="宋体" w:cs="宋体"/>
        </w:rPr>
        <w:t>。</w:t>
      </w:r>
    </w:p>
    <w:p>
      <w:pPr>
        <w:pStyle w:val="17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五</w:t>
      </w:r>
      <w:r>
        <w:rPr>
          <w:rFonts w:hint="eastAsia" w:ascii="宋体" w:hAnsi="宋体" w:eastAsia="宋体" w:cs="宋体"/>
        </w:rPr>
        <w:t>、</w:t>
      </w:r>
      <w:r>
        <w:rPr>
          <w:rFonts w:ascii="宋体" w:hAnsi="宋体" w:eastAsia="宋体" w:cs="宋体"/>
        </w:rPr>
        <w:tab/>
      </w:r>
      <w:r>
        <w:rPr>
          <w:rFonts w:hint="eastAsia" w:ascii="宋体" w:hAnsi="宋体" w:eastAsia="宋体" w:cs="宋体"/>
        </w:rPr>
        <w:t>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年国有资本经营预算拨款情况说明</w:t>
      </w:r>
    </w:p>
    <w:p>
      <w:pPr>
        <w:pStyle w:val="19"/>
        <w:shd w:val="clear" w:color="auto" w:fill="auto"/>
        <w:spacing w:line="360" w:lineRule="auto"/>
        <w:ind w:firstLine="7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val="en-US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年没有国有资本经营预算拨款收入，也没有使用国有资本经营预算拨款安排的支出。</w:t>
      </w:r>
    </w:p>
    <w:p>
      <w:pPr>
        <w:pStyle w:val="17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六</w:t>
      </w:r>
      <w:r>
        <w:rPr>
          <w:rFonts w:hint="eastAsia" w:ascii="宋体" w:hAnsi="宋体" w:eastAsia="宋体" w:cs="宋体"/>
        </w:rPr>
        <w:t>、</w:t>
      </w:r>
      <w:r>
        <w:rPr>
          <w:rFonts w:ascii="宋体" w:hAnsi="宋体" w:eastAsia="宋体" w:cs="宋体"/>
        </w:rPr>
        <w:tab/>
      </w:r>
      <w:r>
        <w:rPr>
          <w:rFonts w:hint="eastAsia" w:ascii="宋体" w:hAnsi="宋体" w:eastAsia="宋体" w:cs="宋体"/>
        </w:rPr>
        <w:t>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年收支预算总体情况说明</w:t>
      </w: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按照综合预算管理原则，石台广播电视台所有收入和支出均纳入部门预算管理。石台广播电视台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年收支总预算</w:t>
      </w:r>
      <w:r>
        <w:rPr>
          <w:rFonts w:ascii="宋体" w:hAnsi="宋体" w:eastAsia="宋体" w:cs="宋体"/>
          <w:lang w:val="en-US"/>
        </w:rPr>
        <w:t>1</w:t>
      </w:r>
      <w:r>
        <w:rPr>
          <w:rFonts w:hint="eastAsia" w:ascii="宋体" w:hAnsi="宋体" w:eastAsia="宋体" w:cs="宋体"/>
          <w:lang w:val="en-US" w:eastAsia="zh-CN"/>
        </w:rPr>
        <w:t>90.7</w:t>
      </w:r>
      <w:r>
        <w:rPr>
          <w:rFonts w:hint="eastAsia" w:ascii="宋体" w:hAnsi="宋体" w:eastAsia="宋体" w:cs="宋体"/>
        </w:rPr>
        <w:t>万元，收入为一般公共预算拨款收入，支出包括：社会保障支出</w:t>
      </w:r>
      <w:r>
        <w:rPr>
          <w:rFonts w:hint="eastAsia" w:ascii="宋体" w:hAnsi="宋体" w:eastAsia="宋体" w:cs="宋体"/>
          <w:lang w:val="en-US"/>
        </w:rPr>
        <w:t>、</w:t>
      </w:r>
      <w:r>
        <w:rPr>
          <w:rFonts w:hint="eastAsia" w:ascii="宋体" w:hAnsi="宋体" w:eastAsia="宋体" w:cs="宋体"/>
        </w:rPr>
        <w:t>医疗卫生与计划生育支出、住房保障支出等。</w:t>
      </w:r>
    </w:p>
    <w:p>
      <w:pPr>
        <w:pStyle w:val="17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七</w:t>
      </w:r>
      <w:r>
        <w:rPr>
          <w:rFonts w:hint="eastAsia" w:ascii="宋体" w:hAnsi="宋体" w:eastAsia="宋体" w:cs="宋体"/>
        </w:rPr>
        <w:t>、</w:t>
      </w:r>
      <w:r>
        <w:rPr>
          <w:rFonts w:ascii="宋体" w:hAnsi="宋体" w:eastAsia="宋体" w:cs="宋体"/>
        </w:rPr>
        <w:tab/>
      </w:r>
      <w:r>
        <w:rPr>
          <w:rFonts w:hint="eastAsia" w:ascii="宋体" w:hAnsi="宋体" w:eastAsia="宋体" w:cs="宋体"/>
        </w:rPr>
        <w:t>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年收入预算情况说明</w:t>
      </w:r>
    </w:p>
    <w:p>
      <w:pPr>
        <w:pStyle w:val="19"/>
        <w:shd w:val="clear" w:color="auto" w:fill="auto"/>
        <w:spacing w:line="360" w:lineRule="auto"/>
        <w:ind w:firstLine="7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年收入预算</w:t>
      </w:r>
      <w:r>
        <w:rPr>
          <w:rFonts w:ascii="宋体" w:hAnsi="宋体" w:eastAsia="宋体" w:cs="宋体"/>
          <w:lang w:val="en-US"/>
        </w:rPr>
        <w:t>1</w:t>
      </w:r>
      <w:r>
        <w:rPr>
          <w:rFonts w:hint="eastAsia" w:ascii="宋体" w:hAnsi="宋体" w:eastAsia="宋体" w:cs="宋体"/>
          <w:lang w:val="en-US" w:eastAsia="zh-CN"/>
        </w:rPr>
        <w:t>90.7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收入全部</w:t>
      </w:r>
      <w:r>
        <w:rPr>
          <w:rFonts w:hint="eastAsia" w:ascii="宋体" w:hAnsi="宋体" w:eastAsia="宋体" w:cs="宋体"/>
        </w:rPr>
        <w:t>一般公共预算拨款收入</w:t>
      </w:r>
      <w:r>
        <w:rPr>
          <w:rFonts w:ascii="宋体" w:hAnsi="宋体" w:eastAsia="宋体" w:cs="宋体"/>
          <w:lang w:val="en-US"/>
        </w:rPr>
        <w:t>1</w:t>
      </w:r>
      <w:r>
        <w:rPr>
          <w:rFonts w:hint="eastAsia" w:ascii="宋体" w:hAnsi="宋体" w:eastAsia="宋体" w:cs="宋体"/>
          <w:lang w:val="en-US" w:eastAsia="zh-CN"/>
        </w:rPr>
        <w:t>90.7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201</w:t>
      </w:r>
      <w:r>
        <w:rPr>
          <w:rFonts w:hint="eastAsia" w:ascii="宋体" w:hAnsi="宋体" w:eastAsia="宋体" w:cs="宋体"/>
          <w:lang w:val="en-US" w:eastAsia="zh-CN"/>
        </w:rPr>
        <w:t>9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33.6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21.4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</w:rPr>
        <w:t>原因主要是</w:t>
      </w:r>
      <w:r>
        <w:rPr>
          <w:rFonts w:hint="eastAsia" w:ascii="宋体" w:hAnsi="宋体" w:eastAsia="宋体" w:cs="宋体"/>
          <w:lang w:val="en-US"/>
        </w:rPr>
        <w:t>人员</w:t>
      </w:r>
      <w:r>
        <w:rPr>
          <w:rFonts w:hint="eastAsia" w:ascii="宋体" w:hAnsi="宋体" w:eastAsia="宋体" w:cs="宋体"/>
          <w:lang w:val="en-US" w:eastAsia="zh-CN"/>
        </w:rPr>
        <w:t>增加及对应费用增加</w:t>
      </w:r>
      <w:r>
        <w:rPr>
          <w:rFonts w:hint="eastAsia" w:ascii="宋体" w:hAnsi="宋体" w:eastAsia="宋体" w:cs="宋体"/>
        </w:rPr>
        <w:t>。</w:t>
      </w:r>
    </w:p>
    <w:p>
      <w:pPr>
        <w:pStyle w:val="17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八</w:t>
      </w:r>
      <w:r>
        <w:rPr>
          <w:rFonts w:hint="eastAsia" w:ascii="宋体" w:hAnsi="宋体" w:eastAsia="宋体" w:cs="宋体"/>
        </w:rPr>
        <w:t>、</w:t>
      </w:r>
      <w:r>
        <w:rPr>
          <w:rFonts w:ascii="宋体" w:hAnsi="宋体" w:eastAsia="宋体" w:cs="宋体"/>
        </w:rPr>
        <w:tab/>
      </w:r>
      <w:r>
        <w:rPr>
          <w:rFonts w:hint="eastAsia" w:ascii="宋体" w:hAnsi="宋体" w:eastAsia="宋体" w:cs="宋体"/>
        </w:rPr>
        <w:t>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年支出预算情况说明</w:t>
      </w: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年支出预算</w:t>
      </w:r>
      <w:r>
        <w:rPr>
          <w:rFonts w:ascii="宋体" w:hAnsi="宋体" w:eastAsia="宋体" w:cs="宋体"/>
          <w:lang w:val="en-US"/>
        </w:rPr>
        <w:t>1</w:t>
      </w:r>
      <w:r>
        <w:rPr>
          <w:rFonts w:hint="eastAsia" w:ascii="宋体" w:hAnsi="宋体" w:eastAsia="宋体" w:cs="宋体"/>
          <w:lang w:val="en-US" w:eastAsia="zh-CN"/>
        </w:rPr>
        <w:t>90.7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201</w:t>
      </w:r>
      <w:r>
        <w:rPr>
          <w:rFonts w:hint="eastAsia" w:ascii="宋体" w:hAnsi="宋体" w:eastAsia="宋体" w:cs="宋体"/>
          <w:lang w:val="en-US" w:eastAsia="zh-CN"/>
        </w:rPr>
        <w:t>9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33.6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21.4</w:t>
      </w:r>
      <w:r>
        <w:rPr>
          <w:rFonts w:ascii="宋体" w:hAnsi="宋体" w:eastAsia="宋体" w:cs="宋体"/>
        </w:rPr>
        <w:t>%,</w:t>
      </w:r>
      <w:r>
        <w:rPr>
          <w:rFonts w:hint="eastAsia" w:ascii="宋体" w:hAnsi="宋体" w:eastAsia="宋体" w:cs="宋体"/>
        </w:rPr>
        <w:t>增长原因主要是</w:t>
      </w:r>
      <w:r>
        <w:rPr>
          <w:rFonts w:hint="eastAsia" w:ascii="宋体" w:hAnsi="宋体" w:eastAsia="宋体" w:cs="宋体"/>
          <w:lang w:val="en-US"/>
        </w:rPr>
        <w:t>人员</w:t>
      </w:r>
      <w:r>
        <w:rPr>
          <w:rFonts w:hint="eastAsia" w:ascii="宋体" w:hAnsi="宋体" w:eastAsia="宋体" w:cs="宋体"/>
          <w:lang w:val="en-US" w:eastAsia="zh-CN"/>
        </w:rPr>
        <w:t>增加</w:t>
      </w:r>
      <w:r>
        <w:rPr>
          <w:rFonts w:hint="eastAsia" w:ascii="宋体" w:hAnsi="宋体" w:eastAsia="宋体" w:cs="宋体"/>
        </w:rPr>
        <w:t>。其中，基本支出</w:t>
      </w:r>
      <w:r>
        <w:rPr>
          <w:rFonts w:hint="eastAsia" w:ascii="宋体" w:hAnsi="宋体" w:eastAsia="宋体" w:cs="宋体"/>
          <w:lang w:val="en-US" w:eastAsia="zh-CN"/>
        </w:rPr>
        <w:t>134.7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70.6</w:t>
      </w:r>
      <w:r>
        <w:rPr>
          <w:rFonts w:ascii="宋体" w:hAnsi="宋体" w:eastAsia="宋体" w:cs="宋体"/>
        </w:rPr>
        <w:t>%,</w:t>
      </w:r>
      <w:r>
        <w:rPr>
          <w:rFonts w:hint="eastAsia" w:ascii="宋体" w:hAnsi="宋体" w:eastAsia="宋体" w:cs="宋体"/>
        </w:rPr>
        <w:t>主要用于</w:t>
      </w:r>
      <w:r>
        <w:rPr>
          <w:rFonts w:hint="eastAsia" w:ascii="宋体" w:hAnsi="宋体" w:eastAsia="宋体" w:cs="宋体"/>
          <w:lang w:val="en-US"/>
        </w:rPr>
        <w:t>人员工资福利及日常办公费用</w:t>
      </w:r>
      <w:r>
        <w:rPr>
          <w:rFonts w:hint="eastAsia" w:ascii="宋体" w:hAnsi="宋体" w:eastAsia="宋体" w:cs="宋体"/>
        </w:rPr>
        <w:t>；项目支出</w:t>
      </w:r>
      <w:r>
        <w:rPr>
          <w:rFonts w:hint="eastAsia" w:ascii="宋体" w:hAnsi="宋体" w:eastAsia="宋体" w:cs="宋体"/>
          <w:lang w:val="en-US" w:eastAsia="zh-CN"/>
        </w:rPr>
        <w:t>56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29.4</w:t>
      </w:r>
      <w:r>
        <w:rPr>
          <w:rFonts w:ascii="宋体" w:hAnsi="宋体" w:eastAsia="宋体" w:cs="宋体"/>
        </w:rPr>
        <w:t>%,</w:t>
      </w:r>
      <w:r>
        <w:rPr>
          <w:rFonts w:hint="eastAsia" w:ascii="宋体" w:hAnsi="宋体" w:eastAsia="宋体" w:cs="宋体"/>
        </w:rPr>
        <w:t>主要用于</w:t>
      </w:r>
      <w:r>
        <w:rPr>
          <w:rFonts w:hint="eastAsia" w:ascii="宋体" w:hAnsi="宋体" w:eastAsia="宋体" w:cs="宋体"/>
          <w:lang w:val="en-US"/>
        </w:rPr>
        <w:t>“游在石台”专题制作</w:t>
      </w:r>
      <w:r>
        <w:rPr>
          <w:rFonts w:hint="eastAsia" w:ascii="宋体" w:hAnsi="宋体" w:eastAsia="宋体" w:cs="宋体"/>
          <w:lang w:val="en-US" w:eastAsia="zh-CN"/>
        </w:rPr>
        <w:t>2</w:t>
      </w:r>
      <w:r>
        <w:rPr>
          <w:rFonts w:hint="eastAsia" w:ascii="宋体" w:hAnsi="宋体" w:eastAsia="宋体" w:cs="宋体"/>
          <w:lang w:val="en-US"/>
        </w:rPr>
        <w:t>万元，池州电视台石台电视台联办新闻</w:t>
      </w:r>
      <w:r>
        <w:rPr>
          <w:rFonts w:ascii="宋体" w:hAnsi="宋体" w:eastAsia="宋体" w:cs="宋体"/>
          <w:lang w:val="en-US"/>
        </w:rPr>
        <w:t>8</w:t>
      </w:r>
      <w:r>
        <w:rPr>
          <w:rFonts w:hint="eastAsia" w:ascii="宋体" w:hAnsi="宋体" w:eastAsia="宋体" w:cs="宋体"/>
          <w:lang w:val="en-US"/>
        </w:rPr>
        <w:t>万元，</w:t>
      </w:r>
      <w:r>
        <w:rPr>
          <w:rFonts w:hint="eastAsia" w:ascii="宋体" w:hAnsi="宋体" w:eastAsia="宋体" w:cs="宋体"/>
          <w:lang w:val="en-US" w:eastAsia="zh-CN"/>
        </w:rPr>
        <w:t>旅游交通广播运行费8万，</w:t>
      </w:r>
      <w:r>
        <w:rPr>
          <w:rFonts w:hint="eastAsia" w:ascii="宋体" w:hAnsi="宋体" w:eastAsia="宋体" w:cs="宋体"/>
          <w:lang w:val="en-US"/>
        </w:rPr>
        <w:t>应急广播维护费</w:t>
      </w:r>
      <w:r>
        <w:rPr>
          <w:rFonts w:hint="eastAsia" w:ascii="宋体" w:hAnsi="宋体" w:eastAsia="宋体" w:cs="宋体"/>
          <w:lang w:val="en-US" w:eastAsia="zh-CN"/>
        </w:rPr>
        <w:t>18</w:t>
      </w:r>
      <w:r>
        <w:rPr>
          <w:rFonts w:hint="eastAsia" w:ascii="宋体" w:hAnsi="宋体" w:eastAsia="宋体" w:cs="宋体"/>
          <w:lang w:val="en-US"/>
        </w:rPr>
        <w:t>万元，执行非税收入</w:t>
      </w:r>
      <w:r>
        <w:rPr>
          <w:rFonts w:ascii="宋体" w:hAnsi="宋体" w:eastAsia="宋体" w:cs="宋体"/>
          <w:lang w:val="en-US"/>
        </w:rPr>
        <w:t>20</w:t>
      </w:r>
      <w:r>
        <w:rPr>
          <w:rFonts w:hint="eastAsia" w:ascii="宋体" w:hAnsi="宋体" w:eastAsia="宋体" w:cs="宋体"/>
          <w:lang w:val="en-US"/>
        </w:rPr>
        <w:t>万元</w:t>
      </w:r>
      <w:r>
        <w:rPr>
          <w:rFonts w:hint="eastAsia" w:ascii="宋体" w:hAnsi="宋体" w:eastAsia="宋体" w:cs="宋体"/>
        </w:rPr>
        <w:t>。</w:t>
      </w:r>
    </w:p>
    <w:p>
      <w:pPr>
        <w:pStyle w:val="19"/>
        <w:numPr>
          <w:ilvl w:val="0"/>
          <w:numId w:val="5"/>
        </w:numPr>
        <w:shd w:val="clear" w:color="auto" w:fill="auto"/>
        <w:spacing w:line="360" w:lineRule="auto"/>
        <w:ind w:firstLine="722" w:firstLineChars="200"/>
        <w:jc w:val="both"/>
        <w:rPr>
          <w:rFonts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项目绩效目标设置情况说明</w:t>
      </w: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lang w:val="en-US"/>
        </w:rPr>
        <w:t>石台广播电视台</w:t>
      </w:r>
      <w:r>
        <w:rPr>
          <w:rFonts w:ascii="宋体" w:hAnsi="宋体" w:eastAsia="宋体" w:cs="宋体"/>
          <w:lang w:val="en-US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  <w:lang w:val="en-US"/>
        </w:rPr>
        <w:t>年按照规定设置绩效目标的项目</w:t>
      </w:r>
      <w:r>
        <w:rPr>
          <w:rFonts w:hint="eastAsia" w:ascii="宋体" w:hAnsi="宋体" w:eastAsia="宋体" w:cs="宋体"/>
          <w:lang w:val="en-US" w:eastAsia="zh-CN"/>
        </w:rPr>
        <w:t>5</w:t>
      </w:r>
      <w:r>
        <w:rPr>
          <w:rFonts w:hint="eastAsia" w:ascii="宋体" w:hAnsi="宋体" w:eastAsia="宋体" w:cs="宋体"/>
          <w:lang w:val="en-US"/>
        </w:rPr>
        <w:t>个，其中：“游在石台”专题制作项目绩效目标为长期；池州电视台石台电视台联办新闻项目绩效目标为长期；</w:t>
      </w:r>
      <w:r>
        <w:rPr>
          <w:rFonts w:hint="eastAsia" w:ascii="宋体" w:hAnsi="宋体" w:eastAsia="宋体" w:cs="宋体"/>
          <w:lang w:val="en-US" w:eastAsia="zh-CN"/>
        </w:rPr>
        <w:t>旅游交通广播运行</w:t>
      </w:r>
      <w:r>
        <w:rPr>
          <w:rFonts w:hint="eastAsia" w:ascii="宋体" w:hAnsi="宋体" w:eastAsia="宋体" w:cs="宋体"/>
          <w:lang w:val="en-US"/>
        </w:rPr>
        <w:t>项目绩效目标为长期</w:t>
      </w:r>
      <w:r>
        <w:rPr>
          <w:rFonts w:hint="eastAsia" w:ascii="宋体" w:hAnsi="宋体" w:eastAsia="宋体" w:cs="宋体"/>
          <w:lang w:val="en-US" w:eastAsia="zh-CN"/>
        </w:rPr>
        <w:t>；</w:t>
      </w:r>
      <w:r>
        <w:rPr>
          <w:rFonts w:hint="eastAsia" w:ascii="宋体" w:hAnsi="宋体" w:eastAsia="宋体" w:cs="宋体"/>
          <w:lang w:val="en-US"/>
        </w:rPr>
        <w:t>应急广播维护费绩效目标为长期。实行单位自评（第三方评价）。</w:t>
      </w:r>
    </w:p>
    <w:p>
      <w:pPr>
        <w:pStyle w:val="17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十、</w:t>
      </w:r>
      <w:r>
        <w:rPr>
          <w:rFonts w:ascii="宋体" w:hAnsi="宋体" w:eastAsia="宋体" w:cs="宋体"/>
        </w:rPr>
        <w:tab/>
      </w:r>
      <w:r>
        <w:rPr>
          <w:rFonts w:hint="eastAsia" w:ascii="宋体" w:hAnsi="宋体" w:eastAsia="宋体" w:cs="宋体"/>
        </w:rPr>
        <w:t>其他重要事项情况说明</w:t>
      </w:r>
    </w:p>
    <w:p>
      <w:pPr>
        <w:pStyle w:val="17"/>
        <w:shd w:val="clear" w:color="auto" w:fill="auto"/>
        <w:tabs>
          <w:tab w:val="left" w:pos="1673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（一）</w:t>
      </w:r>
      <w:r>
        <w:rPr>
          <w:rFonts w:ascii="宋体" w:hAnsi="宋体" w:eastAsia="宋体" w:cs="宋体"/>
        </w:rPr>
        <w:tab/>
      </w:r>
      <w:r>
        <w:rPr>
          <w:rFonts w:hint="eastAsia" w:ascii="宋体" w:hAnsi="宋体" w:eastAsia="宋体" w:cs="宋体"/>
        </w:rPr>
        <w:t>机关运行经费。</w:t>
      </w:r>
    </w:p>
    <w:p>
      <w:pPr>
        <w:pStyle w:val="19"/>
        <w:shd w:val="clear" w:color="auto" w:fill="auto"/>
        <w:spacing w:line="480" w:lineRule="exact"/>
        <w:ind w:firstLine="7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年机关运行经费财政拨款预算</w:t>
      </w:r>
      <w:r>
        <w:rPr>
          <w:rFonts w:hint="eastAsia" w:ascii="宋体" w:hAnsi="宋体" w:eastAsia="宋体" w:cs="宋体"/>
          <w:lang w:val="en-US" w:eastAsia="zh-CN"/>
        </w:rPr>
        <w:t>10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比</w:t>
      </w:r>
      <w:r>
        <w:rPr>
          <w:rFonts w:hint="eastAsia" w:ascii="宋体" w:hAnsi="宋体" w:eastAsia="宋体" w:cs="宋体"/>
          <w:lang w:val="en-US" w:eastAsia="zh-CN"/>
        </w:rPr>
        <w:t>2019年减少3万，减少23%，减少原因主要是进一步减少办公用房水电费、日常运转办公费等。</w:t>
      </w:r>
    </w:p>
    <w:p>
      <w:pPr>
        <w:pStyle w:val="17"/>
        <w:shd w:val="clear" w:color="auto" w:fill="auto"/>
        <w:tabs>
          <w:tab w:val="left" w:pos="1673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（二）</w:t>
      </w:r>
      <w:r>
        <w:rPr>
          <w:rFonts w:ascii="宋体" w:hAnsi="宋体" w:eastAsia="宋体" w:cs="宋体"/>
        </w:rPr>
        <w:tab/>
      </w:r>
      <w:r>
        <w:rPr>
          <w:rFonts w:hint="eastAsia" w:ascii="宋体" w:hAnsi="宋体" w:eastAsia="宋体" w:cs="宋体"/>
        </w:rPr>
        <w:t>政府采购情况。</w:t>
      </w: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年无政府采购。</w:t>
      </w:r>
    </w:p>
    <w:p>
      <w:pPr>
        <w:pStyle w:val="17"/>
        <w:shd w:val="clear" w:color="auto" w:fill="auto"/>
        <w:tabs>
          <w:tab w:val="left" w:pos="1673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（三）</w:t>
      </w:r>
      <w:r>
        <w:rPr>
          <w:rFonts w:ascii="宋体" w:hAnsi="宋体" w:eastAsia="宋体" w:cs="宋体"/>
        </w:rPr>
        <w:tab/>
      </w:r>
      <w:r>
        <w:rPr>
          <w:rFonts w:hint="eastAsia" w:ascii="宋体" w:hAnsi="宋体" w:eastAsia="宋体" w:cs="宋体"/>
        </w:rPr>
        <w:t>国有资产占用使用情况。</w:t>
      </w: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石台广播电视台无公务用车</w:t>
      </w:r>
      <w:r>
        <w:rPr>
          <w:rFonts w:hint="eastAsia" w:ascii="宋体" w:hAnsi="宋体" w:eastAsia="宋体" w:cs="宋体"/>
          <w:lang w:val="en-US"/>
        </w:rPr>
        <w:t>，无</w:t>
      </w:r>
      <w:r>
        <w:rPr>
          <w:rFonts w:hint="eastAsia" w:ascii="宋体" w:hAnsi="宋体" w:eastAsia="宋体" w:cs="宋体"/>
        </w:rPr>
        <w:t>价值</w:t>
      </w:r>
      <w:r>
        <w:rPr>
          <w:rFonts w:ascii="宋体" w:hAnsi="宋体" w:eastAsia="宋体" w:cs="宋体"/>
        </w:rPr>
        <w:t>100</w:t>
      </w:r>
      <w:r>
        <w:rPr>
          <w:rFonts w:hint="eastAsia" w:ascii="宋体" w:hAnsi="宋体" w:eastAsia="宋体" w:cs="宋体"/>
        </w:rPr>
        <w:t>万元以上的专用设备。</w:t>
      </w:r>
    </w:p>
    <w:p>
      <w:pPr>
        <w:pStyle w:val="19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年部门预算没有安排公务用车购置费</w:t>
      </w:r>
      <w:r>
        <w:rPr>
          <w:rFonts w:hint="eastAsia" w:ascii="宋体" w:hAnsi="宋体" w:eastAsia="宋体" w:cs="宋体"/>
          <w:lang w:val="en-US"/>
        </w:rPr>
        <w:t>，未安排购置</w:t>
      </w:r>
      <w:r>
        <w:rPr>
          <w:rFonts w:hint="eastAsia" w:ascii="宋体" w:hAnsi="宋体" w:eastAsia="宋体" w:cs="宋体"/>
        </w:rPr>
        <w:t>单位价值</w:t>
      </w:r>
      <w:r>
        <w:rPr>
          <w:rFonts w:ascii="宋体" w:hAnsi="宋体" w:eastAsia="宋体" w:cs="宋体"/>
        </w:rPr>
        <w:t>100</w:t>
      </w:r>
      <w:r>
        <w:rPr>
          <w:rFonts w:hint="eastAsia" w:ascii="宋体" w:hAnsi="宋体" w:eastAsia="宋体" w:cs="宋体"/>
        </w:rPr>
        <w:t>万元以上专用设备。</w:t>
      </w:r>
    </w:p>
    <w:p>
      <w:pPr>
        <w:pStyle w:val="23"/>
        <w:shd w:val="clear" w:color="auto" w:fill="auto"/>
        <w:spacing w:after="0" w:line="360" w:lineRule="auto"/>
        <w:ind w:firstLine="722" w:firstLineChars="200"/>
        <w:rPr>
          <w:rFonts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第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sz w:val="30"/>
          <w:szCs w:val="30"/>
        </w:rPr>
        <w:t>部分</w:t>
      </w:r>
      <w:r>
        <w:rPr>
          <w:rFonts w:ascii="宋体" w:hAnsi="宋体" w:eastAsia="宋体" w:cs="宋体"/>
          <w:b/>
          <w:bCs/>
          <w:sz w:val="30"/>
          <w:szCs w:val="30"/>
          <w:lang w:val="en-US"/>
        </w:rPr>
        <w:t xml:space="preserve"> </w:t>
      </w:r>
      <w:r>
        <w:rPr>
          <w:rFonts w:hint="eastAsia" w:ascii="宋体" w:hAnsi="宋体" w:eastAsia="宋体" w:cs="宋体"/>
          <w:b/>
          <w:bCs/>
          <w:sz w:val="30"/>
          <w:szCs w:val="30"/>
        </w:rPr>
        <w:t>名词解释</w:t>
      </w:r>
    </w:p>
    <w:p>
      <w:pPr>
        <w:pStyle w:val="19"/>
        <w:shd w:val="clear" w:color="auto" w:fill="auto"/>
        <w:tabs>
          <w:tab w:val="left" w:pos="1279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1"/>
          <w:rFonts w:hint="eastAsia" w:ascii="宋体" w:hAnsi="宋体" w:eastAsia="宋体" w:cs="宋体"/>
        </w:rPr>
        <w:t>一、</w:t>
      </w:r>
      <w:r>
        <w:rPr>
          <w:rStyle w:val="21"/>
          <w:rFonts w:ascii="宋体" w:hAnsi="宋体" w:eastAsia="宋体" w:cs="宋体"/>
        </w:rPr>
        <w:tab/>
      </w:r>
      <w:r>
        <w:rPr>
          <w:rStyle w:val="21"/>
          <w:rFonts w:hint="eastAsia" w:ascii="宋体" w:hAnsi="宋体" w:eastAsia="宋体" w:cs="宋体"/>
        </w:rPr>
        <w:t>财政拨款收入：</w:t>
      </w:r>
      <w:r>
        <w:rPr>
          <w:rFonts w:hint="eastAsia" w:ascii="宋体" w:hAnsi="宋体" w:eastAsia="宋体" w:cs="宋体"/>
        </w:rPr>
        <w:t>指</w:t>
      </w:r>
      <w:r>
        <w:rPr>
          <w:rFonts w:hint="eastAsia" w:ascii="宋体" w:hAnsi="宋体" w:eastAsia="宋体" w:cs="宋体"/>
          <w:lang w:eastAsia="zh-CN"/>
        </w:rPr>
        <w:t>县</w:t>
      </w:r>
      <w:r>
        <w:rPr>
          <w:rFonts w:hint="eastAsia" w:ascii="宋体" w:hAnsi="宋体" w:eastAsia="宋体" w:cs="宋体"/>
        </w:rPr>
        <w:t>财政当年拨付的资金，主要包括一般</w:t>
      </w:r>
      <w:r>
        <w:rPr>
          <w:rFonts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</w:rPr>
        <w:t>公共预算拨款收入和政府性基金拨款收入。</w:t>
      </w:r>
    </w:p>
    <w:p>
      <w:pPr>
        <w:pStyle w:val="19"/>
        <w:shd w:val="clear" w:color="auto" w:fill="auto"/>
        <w:tabs>
          <w:tab w:val="left" w:pos="1279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1"/>
          <w:rFonts w:hint="eastAsia" w:ascii="宋体" w:hAnsi="宋体" w:eastAsia="宋体" w:cs="宋体"/>
        </w:rPr>
        <w:t>二、</w:t>
      </w:r>
      <w:r>
        <w:rPr>
          <w:rStyle w:val="21"/>
          <w:rFonts w:ascii="宋体" w:hAnsi="宋体" w:eastAsia="宋体" w:cs="宋体"/>
        </w:rPr>
        <w:tab/>
      </w:r>
      <w:r>
        <w:rPr>
          <w:rStyle w:val="21"/>
          <w:rFonts w:hint="eastAsia" w:ascii="宋体" w:hAnsi="宋体" w:eastAsia="宋体" w:cs="宋体"/>
        </w:rPr>
        <w:t>基本支出：</w:t>
      </w:r>
      <w:r>
        <w:rPr>
          <w:rFonts w:hint="eastAsia" w:ascii="宋体" w:hAnsi="宋体" w:eastAsia="宋体" w:cs="宋体"/>
        </w:rPr>
        <w:t>指为保障机构正常运转、完成日常工作任务而发生的人员支出和公用支出。</w:t>
      </w:r>
    </w:p>
    <w:p>
      <w:pPr>
        <w:pStyle w:val="19"/>
        <w:shd w:val="clear" w:color="auto" w:fill="auto"/>
        <w:tabs>
          <w:tab w:val="left" w:pos="1279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1"/>
          <w:rFonts w:hint="eastAsia" w:ascii="宋体" w:hAnsi="宋体" w:eastAsia="宋体" w:cs="宋体"/>
        </w:rPr>
        <w:t>三、</w:t>
      </w:r>
      <w:r>
        <w:rPr>
          <w:rStyle w:val="21"/>
          <w:rFonts w:ascii="宋体" w:hAnsi="宋体" w:eastAsia="宋体" w:cs="宋体"/>
        </w:rPr>
        <w:tab/>
      </w:r>
      <w:r>
        <w:rPr>
          <w:rStyle w:val="21"/>
          <w:rFonts w:hint="eastAsia" w:ascii="宋体" w:hAnsi="宋体" w:eastAsia="宋体" w:cs="宋体"/>
        </w:rPr>
        <w:t>项目支出：</w:t>
      </w:r>
      <w:r>
        <w:rPr>
          <w:rFonts w:hint="eastAsia" w:ascii="宋体" w:hAnsi="宋体" w:eastAsia="宋体" w:cs="宋体"/>
        </w:rPr>
        <w:t>指在基本支出之外为完成特定行政任务和事业</w:t>
      </w:r>
      <w:r>
        <w:rPr>
          <w:rFonts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</w:rPr>
        <w:t>发展目标所发生的支出。</w:t>
      </w:r>
    </w:p>
    <w:p>
      <w:pPr>
        <w:pStyle w:val="19"/>
        <w:shd w:val="clear" w:color="auto" w:fill="auto"/>
        <w:tabs>
          <w:tab w:val="left" w:pos="1280"/>
        </w:tabs>
        <w:spacing w:line="360" w:lineRule="auto"/>
        <w:ind w:firstLine="722" w:firstLineChars="200"/>
        <w:jc w:val="both"/>
        <w:rPr>
          <w:rFonts w:hint="eastAsia" w:ascii="宋体" w:hAnsi="宋体" w:eastAsia="宋体" w:cs="宋体"/>
        </w:rPr>
      </w:pPr>
      <w:r>
        <w:rPr>
          <w:rStyle w:val="21"/>
          <w:rFonts w:hint="eastAsia" w:ascii="宋体" w:hAnsi="宋体" w:eastAsia="宋体" w:cs="宋体"/>
        </w:rPr>
        <w:t>四、</w:t>
      </w:r>
      <w:r>
        <w:rPr>
          <w:rStyle w:val="21"/>
          <w:rFonts w:ascii="宋体" w:hAnsi="宋体" w:eastAsia="宋体" w:cs="宋体"/>
        </w:rPr>
        <w:tab/>
      </w:r>
      <w:r>
        <w:rPr>
          <w:rStyle w:val="21"/>
          <w:rFonts w:hint="eastAsia" w:ascii="宋体" w:hAnsi="宋体" w:eastAsia="宋体" w:cs="宋体"/>
        </w:rPr>
        <w:t>机关运行经费：</w:t>
      </w:r>
      <w:r>
        <w:rPr>
          <w:rFonts w:hint="eastAsia" w:ascii="宋体" w:hAnsi="宋体" w:eastAsia="宋体" w:cs="宋体"/>
        </w:rPr>
        <w:t>指各部门的公用经费，包括办公及印刷费、</w:t>
      </w:r>
      <w:r>
        <w:rPr>
          <w:rFonts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</w:rPr>
        <w:t>邮电费、差旅费、会议费、福利费、日常维修费、专用材料及一般设备购置费、办公用房水电费、办公用房取暖费、办公用房物业管理费、公务用车运行维护费以及其他费用。</w:t>
      </w:r>
    </w:p>
    <w:p>
      <w:pPr>
        <w:pStyle w:val="17"/>
        <w:shd w:val="clear" w:color="auto" w:fill="auto"/>
        <w:spacing w:line="538" w:lineRule="exact"/>
        <w:jc w:val="center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第</w:t>
      </w:r>
      <w:r>
        <w:rPr>
          <w:rFonts w:hint="eastAsia" w:ascii="宋体" w:hAnsi="宋体" w:eastAsia="宋体" w:cs="宋体"/>
          <w:lang w:eastAsia="zh-CN"/>
        </w:rPr>
        <w:t>四</w:t>
      </w:r>
      <w:r>
        <w:rPr>
          <w:rFonts w:hint="eastAsia" w:ascii="宋体" w:hAnsi="宋体" w:eastAsia="宋体" w:cs="宋体"/>
        </w:rPr>
        <w:t>部分</w:t>
      </w:r>
      <w:r>
        <w:rPr>
          <w:rFonts w:ascii="宋体" w:hAnsi="宋体" w:eastAsia="宋体" w:cs="宋体"/>
          <w:lang w:val="en-US"/>
        </w:rPr>
        <w:t xml:space="preserve"> 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年部门预算表（附表）</w:t>
      </w:r>
    </w:p>
    <w:p>
      <w:pPr>
        <w:pStyle w:val="19"/>
        <w:numPr>
          <w:ilvl w:val="0"/>
          <w:numId w:val="6"/>
        </w:numPr>
        <w:shd w:val="clear" w:color="auto" w:fill="auto"/>
        <w:tabs>
          <w:tab w:val="left" w:pos="382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年部门财政拨款收支预算总表</w:t>
      </w:r>
    </w:p>
    <w:p>
      <w:pPr>
        <w:pStyle w:val="19"/>
        <w:numPr>
          <w:ilvl w:val="0"/>
          <w:numId w:val="6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年部门一般公共预算支出预算表</w:t>
      </w:r>
    </w:p>
    <w:p>
      <w:pPr>
        <w:pStyle w:val="19"/>
        <w:numPr>
          <w:ilvl w:val="0"/>
          <w:numId w:val="6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年部门一般公共预算基本支出预算表</w:t>
      </w:r>
    </w:p>
    <w:p>
      <w:pPr>
        <w:pStyle w:val="19"/>
        <w:numPr>
          <w:ilvl w:val="0"/>
          <w:numId w:val="6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年部门政府性基金预算支出预算表</w:t>
      </w:r>
    </w:p>
    <w:p>
      <w:pPr>
        <w:pStyle w:val="19"/>
        <w:numPr>
          <w:ilvl w:val="0"/>
          <w:numId w:val="6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年部门收支预算总表</w:t>
      </w:r>
    </w:p>
    <w:p>
      <w:pPr>
        <w:pStyle w:val="19"/>
        <w:numPr>
          <w:ilvl w:val="0"/>
          <w:numId w:val="6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年部门收入预算总表</w:t>
      </w:r>
    </w:p>
    <w:p>
      <w:pPr>
        <w:pStyle w:val="19"/>
        <w:numPr>
          <w:ilvl w:val="0"/>
          <w:numId w:val="6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年部门支出预算总表</w:t>
      </w:r>
    </w:p>
    <w:p>
      <w:pPr>
        <w:pStyle w:val="19"/>
        <w:numPr>
          <w:ilvl w:val="0"/>
          <w:numId w:val="6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  <w:lang w:val="en-US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  <w:lang w:val="en-US"/>
        </w:rPr>
        <w:t>年部门</w:t>
      </w:r>
      <w:r>
        <w:rPr>
          <w:rFonts w:hint="eastAsia" w:ascii="宋体" w:hAnsi="宋体" w:eastAsia="宋体" w:cs="宋体"/>
        </w:rPr>
        <w:t>国有资本经营预算支出预算表</w:t>
      </w:r>
    </w:p>
    <w:p>
      <w:pPr>
        <w:pStyle w:val="19"/>
        <w:numPr>
          <w:ilvl w:val="0"/>
          <w:numId w:val="6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  <w:lang w:val="en-US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  <w:lang w:val="en-US"/>
        </w:rPr>
        <w:t>年部门政府采购预算表</w:t>
      </w:r>
    </w:p>
    <w:p>
      <w:pPr>
        <w:pStyle w:val="19"/>
        <w:shd w:val="clear" w:color="auto" w:fill="auto"/>
        <w:spacing w:line="360" w:lineRule="auto"/>
        <w:jc w:val="both"/>
        <w:rPr>
          <w:rFonts w:hint="eastAsia" w:ascii="宋体" w:hAnsi="宋体" w:eastAsia="宋体" w:cs="宋体"/>
          <w:lang w:val="en-US"/>
        </w:rPr>
      </w:pPr>
      <w:r>
        <w:rPr>
          <w:rFonts w:ascii="宋体" w:hAnsi="宋体" w:eastAsia="宋体" w:cs="宋体"/>
          <w:lang w:val="en-US"/>
        </w:rPr>
        <w:t>10.20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  <w:lang w:val="en-US"/>
        </w:rPr>
        <w:t>年政府购买服务预算表</w:t>
      </w:r>
    </w:p>
    <w:p>
      <w:pPr>
        <w:pStyle w:val="19"/>
        <w:shd w:val="clear" w:color="auto" w:fill="auto"/>
        <w:spacing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  <w:sectPr>
          <w:pgSz w:w="11900" w:h="16840"/>
          <w:pgMar w:top="1920" w:right="1182" w:bottom="1775" w:left="1296" w:header="0" w:footer="3" w:gutter="0"/>
          <w:cols w:space="720" w:num="1"/>
          <w:docGrid w:linePitch="360" w:charSpace="0"/>
        </w:sectPr>
      </w:pPr>
    </w:p>
    <w:p>
      <w:pPr>
        <w:pStyle w:val="19"/>
        <w:shd w:val="clear" w:color="auto" w:fill="auto"/>
        <w:tabs>
          <w:tab w:val="left" w:pos="1280"/>
        </w:tabs>
        <w:spacing w:line="360" w:lineRule="auto"/>
        <w:ind w:firstLine="720" w:firstLineChars="200"/>
        <w:jc w:val="both"/>
        <w:rPr>
          <w:rFonts w:hint="eastAsia" w:ascii="宋体" w:hAnsi="宋体" w:eastAsia="宋体" w:cs="宋体"/>
        </w:rPr>
      </w:pPr>
    </w:p>
    <w:p>
      <w:pPr>
        <w:pStyle w:val="19"/>
        <w:shd w:val="clear" w:color="auto" w:fill="auto"/>
        <w:tabs>
          <w:tab w:val="left" w:pos="1280"/>
        </w:tabs>
        <w:spacing w:line="360" w:lineRule="auto"/>
        <w:jc w:val="both"/>
        <w:rPr>
          <w:rFonts w:ascii="宋体" w:hAnsi="宋体" w:eastAsia="宋体" w:cs="宋体"/>
        </w:rPr>
      </w:pPr>
    </w:p>
    <w:sectPr>
      <w:headerReference r:id="rId9" w:type="default"/>
      <w:footerReference r:id="rId10" w:type="default"/>
      <w:footerReference r:id="rId11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dobe 宋体 Std L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w:rPr>
        <w:lang w:val="en-US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3667125</wp:posOffset>
              </wp:positionH>
              <wp:positionV relativeFrom="page">
                <wp:posOffset>9913620</wp:posOffset>
              </wp:positionV>
              <wp:extent cx="114935" cy="131445"/>
              <wp:effectExtent l="0" t="0" r="0" b="381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9"/>
                            </w:rPr>
                            <w:t>11</w:t>
                          </w:r>
                          <w:r>
                            <w:rPr>
                              <w:rStyle w:val="2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288.75pt;margin-top:780.6pt;height:10.35pt;width:9.05pt;mso-position-horizontal-relative:page;mso-position-vertical-relative:page;mso-wrap-style:none;z-index:-251659264;mso-width-relative:page;mso-height-relative:page;" filled="f" stroked="f" coordsize="21600,21600" o:gfxdata="UEsDBAoAAAAAAIdO4kAAAAAAAAAAAAAAAAAEAAAAZHJzL1BLAwQUAAAACACHTuJA1USFC9gAAAAN&#10;AQAADwAAAGRycy9kb3ducmV2LnhtbE2PPU/DMBCGdyT+g3VIbNRJpXw0xOlQiYWNgpC6ufE1jrDP&#10;ke2myb/HnWC8ex+991y7X6xhM/owOhKQbzJgSL1TIw0Cvj7fXmpgIUpS0jhCASsG2HePD61slLvR&#10;B87HOLBUQqGRAnSMU8N56DVaGTZuQkrZxXkrYxr9wJWXt1RuDd9mWcmtHCld0HLCg8b+53i1Aqrl&#10;2+EU8ICny9x7Pa61eV+FeH7Ks1dgEZf4B8NdP6lDl5zO7koqMCOgqKoioSkoynwLLCHFriiBne+r&#10;Ot8B71r+/4vuF1BLAwQUAAAACACHTuJAQIzX9N0BAACzAwAADgAAAGRycy9lMm9Eb2MueG1srVPb&#10;btswDH0fsH8Q9L44btNhNeIUvSDDgG4t0PYDZFm2hVqiQCmxs68fJcdZt74NexFoijo8PDxeX42m&#10;Z3uFXoMteb5YcqashFrbtuQvz9tPXzjzQdha9GBVyQ/K86vNxw/rwRXqDDroa4WMQKwvBlfyLgRX&#10;ZJmXnTLCL8ApS5cNoBGBPrHNahQDoZs+O1suP2cDYO0QpPKesnfTJd8k/KZRMjw0jVeB9SUnbiGd&#10;mM4qntlmLYoWheu0PNIQ/8DCCG2p6QnqTgTBdqjfQRktETw0YSHBZNA0Wqo0A02TL/+a5qkTTqVZ&#10;SBzvTjL5/wcrf+wfkemadseZFYZW9KzGwG5gZHlUZ3C+oKInR2VhpHSsjJN6dw/y1TMLt52wrbpG&#10;hKFToiZ26WX25umE4yNINXyHmtqIXYAENDZoIiCJwQidtnQ4bSZSkbFlvro8v+BM0lV+nq9WF5Fb&#10;Jor5sUMfviowLAYlR1p8Ahf7ex+m0rkk9rKw1X2flt/bPxKEGTOJfOQ7MQ9jNR7FqKA+0BgIk5fI&#10;+xR0gD85G8hHJbdkdM76b5aEiJabA5yDag6ElfSw5IGzKbwNkzV3DnXbEe4s9TWJtdVpkKjqxOHI&#10;kpyRpDi6OFrv7Xeq+v2vbX4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1USFC9gAAAANAQAADwAA&#10;AAAAAAABACAAAAAiAAAAZHJzL2Rvd25yZXYueG1sUEsBAhQAFAAAAAgAh07iQECM1/TdAQAAswMA&#10;AA4AAAAAAAAAAQAgAAAAJwEAAGRycy9lMm9Eb2MueG1sUEsFBgAAAAAGAAYAWQEAAH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29"/>
                      </w:rPr>
                      <w:t>11</w:t>
                    </w:r>
                    <w:r>
                      <w:rPr>
                        <w:rStyle w:val="2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w:rPr>
        <w:lang w:val="en-U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3667125</wp:posOffset>
              </wp:positionH>
              <wp:positionV relativeFrom="page">
                <wp:posOffset>9913620</wp:posOffset>
              </wp:positionV>
              <wp:extent cx="114935" cy="131445"/>
              <wp:effectExtent l="0" t="0" r="0" b="38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7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9"/>
                            </w:rPr>
                            <w:t>10</w:t>
                          </w:r>
                          <w:r>
                            <w:rPr>
                              <w:rStyle w:val="2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6" o:spt="202" type="#_x0000_t202" style="position:absolute;left:0pt;margin-left:288.75pt;margin-top:780.6pt;height:10.35pt;width:9.05pt;mso-position-horizontal-relative:page;mso-position-vertical-relative:page;mso-wrap-style:none;z-index:-251658240;mso-width-relative:page;mso-height-relative:page;" filled="f" stroked="f" coordsize="21600,21600" o:gfxdata="UEsDBAoAAAAAAIdO4kAAAAAAAAAAAAAAAAAEAAAAZHJzL1BLAwQUAAAACACHTuJA1USFC9gAAAAN&#10;AQAADwAAAGRycy9kb3ducmV2LnhtbE2PPU/DMBCGdyT+g3VIbNRJpXw0xOlQiYWNgpC6ufE1jrDP&#10;ke2myb/HnWC8ex+991y7X6xhM/owOhKQbzJgSL1TIw0Cvj7fXmpgIUpS0jhCASsG2HePD61slLvR&#10;B87HOLBUQqGRAnSMU8N56DVaGTZuQkrZxXkrYxr9wJWXt1RuDd9mWcmtHCld0HLCg8b+53i1Aqrl&#10;2+EU8ICny9x7Pa61eV+FeH7Ks1dgEZf4B8NdP6lDl5zO7koqMCOgqKoioSkoynwLLCHFriiBne+r&#10;Ot8B71r+/4vuF1BLAwQUAAAACACHTuJAhF56z98BAACzAwAADgAAAGRycy9lMm9Eb2MueG1srVPB&#10;jtMwEL0j8Q+W7zRNt4sgarpadlWEtLBIu3zAxHEai8Rjjd0m5esZO01Z4Ia4WJPx+M2bNy+bm7Hv&#10;xFGTN2hLmS+WUmirsDZ2X8pvz7s376TwAWwNHVpdypP28mb7+tVmcIVeYYtdrUkwiPXF4ErZhuCK&#10;LPOq1T34BTpt+bJB6iHwJ+2zmmBg9L7LVsvl22xAqh2h0t5z9n66lNuE3zRahcem8TqIrpTMLaST&#10;0lnFM9tuoNgTuNaoMw34BxY9GMtNL1D3EEAcyPwF1RtF6LEJC4V9hk1jlE4z8DT58o9pnlpwOs3C&#10;4nh3kcn/P1j15fiVhKlLuZLCQs8retZjEB9wFKuozuB8wUVPjsvCyGnecprUuwdU372weNeC3etb&#10;IhxaDTWzy+PL7MXTCcdHkGr4jDW3gUPABDQ21EfpWAzB6Lyl02UzkYqKLfP1+6trKRRf5Vf5en2d&#10;OkAxP3bkw0eNvYhBKYkXn8Dh+OBDJAPFXBJ7WdyZrkvL7+xvCS6MmUQ+8p2Yh7Eaz2JUWJ94DMLJ&#10;S+x9DlqkH1IM7KNSWja6FN0ny0JEy80BzUE1B2AVPyxlkGIK78JkzYMjs28Zd5b6lsXamTRIVHXi&#10;cGbJzkjznV0crffyO1X9+te2Pw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VRIUL2AAAAA0BAAAP&#10;AAAAAAAAAAEAIAAAACIAAABkcnMvZG93bnJldi54bWxQSwECFAAUAAAACACHTuJAhF56z98BAACz&#10;AwAADgAAAAAAAAABACAAAAAnAQAAZHJzL2Uyb0RvYy54bWxQSwUGAAAAAAYABgBZAQAAe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7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29"/>
                      </w:rPr>
                      <w:t>10</w:t>
                    </w:r>
                    <w:r>
                      <w:rPr>
                        <w:rStyle w:val="2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1E84A9"/>
    <w:multiLevelType w:val="singleLevel"/>
    <w:tmpl w:val="AB1E84A9"/>
    <w:lvl w:ilvl="0" w:tentative="0">
      <w:start w:val="1"/>
      <w:numFmt w:val="decimal"/>
      <w:suff w:val="nothing"/>
      <w:lvlText w:val="%1．"/>
      <w:lvlJc w:val="left"/>
      <w:pPr>
        <w:ind w:firstLine="400"/>
      </w:pPr>
      <w:rPr>
        <w:rFonts w:hint="default" w:cs="Times New Roman"/>
      </w:rPr>
    </w:lvl>
  </w:abstractNum>
  <w:abstractNum w:abstractNumId="1">
    <w:nsid w:val="AD3B9B7A"/>
    <w:multiLevelType w:val="singleLevel"/>
    <w:tmpl w:val="AD3B9B7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CF092B84"/>
    <w:multiLevelType w:val="singleLevel"/>
    <w:tmpl w:val="CF092B84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</w:rPr>
    </w:lvl>
  </w:abstractNum>
  <w:abstractNum w:abstractNumId="3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</w:rPr>
    </w:lvl>
  </w:abstractNum>
  <w:abstractNum w:abstractNumId="4">
    <w:nsid w:val="32E7DDA3"/>
    <w:multiLevelType w:val="singleLevel"/>
    <w:tmpl w:val="32E7DDA3"/>
    <w:lvl w:ilvl="0" w:tentative="0">
      <w:start w:val="9"/>
      <w:numFmt w:val="chineseCounting"/>
      <w:suff w:val="nothing"/>
      <w:lvlText w:val="%1、"/>
      <w:lvlJc w:val="left"/>
      <w:rPr>
        <w:rFonts w:hint="eastAsia" w:cs="Times New Roman"/>
      </w:rPr>
    </w:lvl>
  </w:abstractNum>
  <w:abstractNum w:abstractNumId="5">
    <w:nsid w:val="3900606A"/>
    <w:multiLevelType w:val="singleLevel"/>
    <w:tmpl w:val="3900606A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7B"/>
    <w:rsid w:val="00060560"/>
    <w:rsid w:val="00075689"/>
    <w:rsid w:val="000D7513"/>
    <w:rsid w:val="001B0BC3"/>
    <w:rsid w:val="00215249"/>
    <w:rsid w:val="00265585"/>
    <w:rsid w:val="00274B91"/>
    <w:rsid w:val="00297CBB"/>
    <w:rsid w:val="002B452A"/>
    <w:rsid w:val="002D60F5"/>
    <w:rsid w:val="002F2597"/>
    <w:rsid w:val="003208A2"/>
    <w:rsid w:val="0033577B"/>
    <w:rsid w:val="00397722"/>
    <w:rsid w:val="003B23EF"/>
    <w:rsid w:val="003B459D"/>
    <w:rsid w:val="00413187"/>
    <w:rsid w:val="00420FE0"/>
    <w:rsid w:val="004D76AB"/>
    <w:rsid w:val="004E5797"/>
    <w:rsid w:val="004F768F"/>
    <w:rsid w:val="00534565"/>
    <w:rsid w:val="00554A3E"/>
    <w:rsid w:val="005928E9"/>
    <w:rsid w:val="00641A63"/>
    <w:rsid w:val="0067705F"/>
    <w:rsid w:val="006B33A9"/>
    <w:rsid w:val="00720550"/>
    <w:rsid w:val="007609DA"/>
    <w:rsid w:val="007C464C"/>
    <w:rsid w:val="00865234"/>
    <w:rsid w:val="0092259E"/>
    <w:rsid w:val="00925B79"/>
    <w:rsid w:val="009C4741"/>
    <w:rsid w:val="00AC3E09"/>
    <w:rsid w:val="00C25BEF"/>
    <w:rsid w:val="00CB1B53"/>
    <w:rsid w:val="00CE7864"/>
    <w:rsid w:val="00D6440E"/>
    <w:rsid w:val="00DA621A"/>
    <w:rsid w:val="00E0114F"/>
    <w:rsid w:val="00E122E6"/>
    <w:rsid w:val="00E161F6"/>
    <w:rsid w:val="00E35732"/>
    <w:rsid w:val="00E75B35"/>
    <w:rsid w:val="00ED7788"/>
    <w:rsid w:val="00EF2F41"/>
    <w:rsid w:val="00F864F0"/>
    <w:rsid w:val="00FB3496"/>
    <w:rsid w:val="00FC13C5"/>
    <w:rsid w:val="00FD0DDB"/>
    <w:rsid w:val="02431E11"/>
    <w:rsid w:val="043E2F4A"/>
    <w:rsid w:val="074910A2"/>
    <w:rsid w:val="075B5D66"/>
    <w:rsid w:val="0785427E"/>
    <w:rsid w:val="0C91771D"/>
    <w:rsid w:val="0D1A45DD"/>
    <w:rsid w:val="0D8574D2"/>
    <w:rsid w:val="0FDA50DF"/>
    <w:rsid w:val="13E32373"/>
    <w:rsid w:val="14F04E9F"/>
    <w:rsid w:val="197F6989"/>
    <w:rsid w:val="1C8D24DC"/>
    <w:rsid w:val="1D4A2712"/>
    <w:rsid w:val="1DDE2AFD"/>
    <w:rsid w:val="1F2D795C"/>
    <w:rsid w:val="20704300"/>
    <w:rsid w:val="21071CD9"/>
    <w:rsid w:val="24187DF0"/>
    <w:rsid w:val="24E877DF"/>
    <w:rsid w:val="250E3D3B"/>
    <w:rsid w:val="265042E5"/>
    <w:rsid w:val="276B45D1"/>
    <w:rsid w:val="28265DC8"/>
    <w:rsid w:val="283233E6"/>
    <w:rsid w:val="299D31EA"/>
    <w:rsid w:val="2C7C38A6"/>
    <w:rsid w:val="2CFC0967"/>
    <w:rsid w:val="2EDA3662"/>
    <w:rsid w:val="2F142897"/>
    <w:rsid w:val="2F3D0F23"/>
    <w:rsid w:val="2FC8303B"/>
    <w:rsid w:val="332C6584"/>
    <w:rsid w:val="338121F6"/>
    <w:rsid w:val="34651E4C"/>
    <w:rsid w:val="36F23E90"/>
    <w:rsid w:val="3A792A64"/>
    <w:rsid w:val="3B6E490E"/>
    <w:rsid w:val="3C597A01"/>
    <w:rsid w:val="3D7A4687"/>
    <w:rsid w:val="3D81035B"/>
    <w:rsid w:val="3EA87366"/>
    <w:rsid w:val="405B5988"/>
    <w:rsid w:val="430000D7"/>
    <w:rsid w:val="460354CB"/>
    <w:rsid w:val="48105303"/>
    <w:rsid w:val="48387A68"/>
    <w:rsid w:val="48820020"/>
    <w:rsid w:val="49CB2F6A"/>
    <w:rsid w:val="4A972C95"/>
    <w:rsid w:val="4AA81C1E"/>
    <w:rsid w:val="4AC75B2F"/>
    <w:rsid w:val="4B894EB0"/>
    <w:rsid w:val="4E24045A"/>
    <w:rsid w:val="4E4D02A1"/>
    <w:rsid w:val="4E935B51"/>
    <w:rsid w:val="4F6F3766"/>
    <w:rsid w:val="50E907FF"/>
    <w:rsid w:val="58294FDD"/>
    <w:rsid w:val="5AEC5011"/>
    <w:rsid w:val="5BCE528C"/>
    <w:rsid w:val="60CF6719"/>
    <w:rsid w:val="613A5B9A"/>
    <w:rsid w:val="62A45082"/>
    <w:rsid w:val="6368771C"/>
    <w:rsid w:val="673D6FD7"/>
    <w:rsid w:val="68F614E7"/>
    <w:rsid w:val="6A6261E0"/>
    <w:rsid w:val="6C890CDF"/>
    <w:rsid w:val="6EB4664F"/>
    <w:rsid w:val="6EC55030"/>
    <w:rsid w:val="6FA1255B"/>
    <w:rsid w:val="78600472"/>
    <w:rsid w:val="7AB86BD0"/>
    <w:rsid w:val="7BFF3A55"/>
    <w:rsid w:val="7D8D0811"/>
    <w:rsid w:val="7F58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宋体" w:cs="Times New Roman"/>
      <w:color w:val="000000"/>
      <w:kern w:val="0"/>
      <w:sz w:val="24"/>
      <w:szCs w:val="24"/>
      <w:lang w:val="zh-CN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</w:pPr>
    <w:rPr>
      <w:rFonts w:ascii="宋体" w:hAnsi="宋体" w:cs="宋体"/>
      <w:color w:val="auto"/>
      <w:lang w:val="en-US"/>
    </w:rPr>
  </w:style>
  <w:style w:type="character" w:styleId="7">
    <w:name w:val="Hyperlink"/>
    <w:basedOn w:val="6"/>
    <w:qFormat/>
    <w:uiPriority w:val="99"/>
    <w:rPr>
      <w:rFonts w:cs="Times New Roman"/>
      <w:color w:val="0000FF"/>
      <w:u w:val="single"/>
    </w:rPr>
  </w:style>
  <w:style w:type="character" w:customStyle="1" w:styleId="8">
    <w:name w:val="页脚 Char"/>
    <w:basedOn w:val="6"/>
    <w:link w:val="2"/>
    <w:qFormat/>
    <w:locked/>
    <w:uiPriority w:val="99"/>
    <w:rPr>
      <w:rFonts w:eastAsia="Times New Roman" w:cs="Times New Roman"/>
      <w:color w:val="000000"/>
      <w:sz w:val="18"/>
      <w:szCs w:val="18"/>
      <w:lang w:val="zh-CN"/>
    </w:rPr>
  </w:style>
  <w:style w:type="character" w:customStyle="1" w:styleId="9">
    <w:name w:val="页眉 Char"/>
    <w:basedOn w:val="6"/>
    <w:link w:val="3"/>
    <w:qFormat/>
    <w:locked/>
    <w:uiPriority w:val="99"/>
    <w:rPr>
      <w:rFonts w:eastAsia="Times New Roman" w:cs="Times New Roman"/>
      <w:color w:val="000000"/>
      <w:sz w:val="18"/>
      <w:szCs w:val="18"/>
      <w:lang w:val="zh-CN"/>
    </w:rPr>
  </w:style>
  <w:style w:type="character" w:customStyle="1" w:styleId="10">
    <w:name w:val="Body text|3_"/>
    <w:basedOn w:val="6"/>
    <w:link w:val="11"/>
    <w:qFormat/>
    <w:locked/>
    <w:uiPriority w:val="99"/>
    <w:rPr>
      <w:rFonts w:ascii="PMingLiU" w:hAnsi="PMingLiU" w:eastAsia="PMingLiU" w:cs="PMingLiU"/>
      <w:sz w:val="52"/>
      <w:szCs w:val="52"/>
      <w:u w:val="none"/>
    </w:rPr>
  </w:style>
  <w:style w:type="paragraph" w:customStyle="1" w:styleId="11">
    <w:name w:val="Body text|3"/>
    <w:basedOn w:val="1"/>
    <w:link w:val="10"/>
    <w:qFormat/>
    <w:uiPriority w:val="99"/>
    <w:pPr>
      <w:shd w:val="clear" w:color="auto" w:fill="FFFFFF"/>
      <w:spacing w:after="5400" w:line="1133" w:lineRule="exact"/>
      <w:jc w:val="center"/>
    </w:pPr>
    <w:rPr>
      <w:rFonts w:ascii="PMingLiU" w:hAnsi="PMingLiU" w:eastAsia="PMingLiU" w:cs="PMingLiU"/>
      <w:sz w:val="52"/>
      <w:szCs w:val="52"/>
    </w:rPr>
  </w:style>
  <w:style w:type="character" w:customStyle="1" w:styleId="12">
    <w:name w:val="Body text|3 + Times New Roman"/>
    <w:basedOn w:val="10"/>
    <w:semiHidden/>
    <w:qFormat/>
    <w:uiPriority w:val="99"/>
    <w:rPr>
      <w:rFonts w:ascii="Times New Roman" w:hAnsi="Times New Roman" w:eastAsia="PMingLiU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/>
    </w:rPr>
  </w:style>
  <w:style w:type="character" w:customStyle="1" w:styleId="13">
    <w:name w:val="Body text|4_"/>
    <w:basedOn w:val="6"/>
    <w:link w:val="14"/>
    <w:qFormat/>
    <w:locked/>
    <w:uiPriority w:val="99"/>
    <w:rPr>
      <w:rFonts w:ascii="PMingLiU" w:hAnsi="PMingLiU" w:eastAsia="PMingLiU" w:cs="PMingLiU"/>
      <w:sz w:val="36"/>
      <w:szCs w:val="36"/>
      <w:u w:val="none"/>
    </w:rPr>
  </w:style>
  <w:style w:type="paragraph" w:customStyle="1" w:styleId="14">
    <w:name w:val="Body text|4"/>
    <w:basedOn w:val="1"/>
    <w:link w:val="13"/>
    <w:qFormat/>
    <w:uiPriority w:val="99"/>
    <w:pPr>
      <w:shd w:val="clear" w:color="auto" w:fill="FFFFFF"/>
      <w:spacing w:before="5400" w:line="360" w:lineRule="exact"/>
    </w:pPr>
    <w:rPr>
      <w:rFonts w:ascii="PMingLiU" w:hAnsi="PMingLiU" w:eastAsia="PMingLiU" w:cs="PMingLiU"/>
      <w:sz w:val="36"/>
      <w:szCs w:val="36"/>
    </w:rPr>
  </w:style>
  <w:style w:type="character" w:customStyle="1" w:styleId="15">
    <w:name w:val="Body text|4 + Spacing 4 pt"/>
    <w:basedOn w:val="13"/>
    <w:semiHidden/>
    <w:qFormat/>
    <w:uiPriority w:val="99"/>
    <w:rPr>
      <w:rFonts w:ascii="PMingLiU" w:hAnsi="PMingLiU" w:eastAsia="PMingLiU" w:cs="PMingLiU"/>
      <w:color w:val="000000"/>
      <w:spacing w:val="80"/>
      <w:w w:val="100"/>
      <w:position w:val="0"/>
      <w:sz w:val="36"/>
      <w:szCs w:val="36"/>
      <w:u w:val="none"/>
      <w:lang w:val="zh-CN" w:eastAsia="zh-CN"/>
    </w:rPr>
  </w:style>
  <w:style w:type="character" w:customStyle="1" w:styleId="16">
    <w:name w:val="Body text|5_"/>
    <w:basedOn w:val="6"/>
    <w:link w:val="17"/>
    <w:qFormat/>
    <w:locked/>
    <w:uiPriority w:val="99"/>
    <w:rPr>
      <w:rFonts w:ascii="PMingLiU" w:hAnsi="PMingLiU" w:eastAsia="PMingLiU" w:cs="PMingLiU"/>
      <w:b/>
      <w:bCs/>
      <w:spacing w:val="30"/>
      <w:sz w:val="30"/>
      <w:szCs w:val="30"/>
      <w:u w:val="none"/>
    </w:rPr>
  </w:style>
  <w:style w:type="paragraph" w:customStyle="1" w:styleId="17">
    <w:name w:val="Body text|5"/>
    <w:basedOn w:val="1"/>
    <w:link w:val="16"/>
    <w:qFormat/>
    <w:uiPriority w:val="99"/>
    <w:pPr>
      <w:shd w:val="clear" w:color="auto" w:fill="FFFFFF"/>
      <w:spacing w:line="480" w:lineRule="exact"/>
    </w:pPr>
    <w:rPr>
      <w:rFonts w:ascii="PMingLiU" w:hAnsi="PMingLiU" w:eastAsia="PMingLiU" w:cs="PMingLiU"/>
      <w:b/>
      <w:bCs/>
      <w:spacing w:val="30"/>
      <w:sz w:val="30"/>
      <w:szCs w:val="30"/>
    </w:rPr>
  </w:style>
  <w:style w:type="character" w:customStyle="1" w:styleId="18">
    <w:name w:val="Body text|2_"/>
    <w:basedOn w:val="6"/>
    <w:link w:val="19"/>
    <w:qFormat/>
    <w:locked/>
    <w:uiPriority w:val="99"/>
    <w:rPr>
      <w:rFonts w:ascii="PMingLiU" w:hAnsi="PMingLiU" w:eastAsia="PMingLiU" w:cs="PMingLiU"/>
      <w:spacing w:val="30"/>
      <w:sz w:val="30"/>
      <w:szCs w:val="30"/>
      <w:u w:val="none"/>
    </w:rPr>
  </w:style>
  <w:style w:type="paragraph" w:customStyle="1" w:styleId="19">
    <w:name w:val="Body text|2"/>
    <w:basedOn w:val="1"/>
    <w:link w:val="18"/>
    <w:qFormat/>
    <w:uiPriority w:val="99"/>
    <w:pPr>
      <w:shd w:val="clear" w:color="auto" w:fill="FFFFFF"/>
      <w:spacing w:line="300" w:lineRule="exact"/>
    </w:pPr>
    <w:rPr>
      <w:rFonts w:ascii="PMingLiU" w:hAnsi="PMingLiU" w:eastAsia="PMingLiU" w:cs="PMingLiU"/>
      <w:spacing w:val="30"/>
      <w:sz w:val="30"/>
      <w:szCs w:val="30"/>
    </w:rPr>
  </w:style>
  <w:style w:type="character" w:customStyle="1" w:styleId="20">
    <w:name w:val="Body text|2 + Times New Roman"/>
    <w:basedOn w:val="18"/>
    <w:semiHidden/>
    <w:qFormat/>
    <w:uiPriority w:val="99"/>
    <w:rPr>
      <w:rFonts w:ascii="Times New Roman" w:hAnsi="Times New Roman" w:eastAsia="PMingLiU" w:cs="Times New Roman"/>
      <w:color w:val="000000"/>
      <w:spacing w:val="0"/>
      <w:w w:val="100"/>
      <w:position w:val="0"/>
      <w:sz w:val="34"/>
      <w:szCs w:val="34"/>
      <w:u w:val="none"/>
      <w:lang w:val="en-US" w:eastAsia="en-US"/>
    </w:rPr>
  </w:style>
  <w:style w:type="character" w:customStyle="1" w:styleId="21">
    <w:name w:val="Body text|2 + Bold"/>
    <w:basedOn w:val="18"/>
    <w:semiHidden/>
    <w:qFormat/>
    <w:uiPriority w:val="99"/>
    <w:rPr>
      <w:rFonts w:ascii="PMingLiU" w:hAnsi="PMingLiU" w:eastAsia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/>
    </w:rPr>
  </w:style>
  <w:style w:type="character" w:customStyle="1" w:styleId="22">
    <w:name w:val="Body text|6_"/>
    <w:basedOn w:val="6"/>
    <w:link w:val="23"/>
    <w:qFormat/>
    <w:locked/>
    <w:uiPriority w:val="99"/>
    <w:rPr>
      <w:rFonts w:ascii="PMingLiU" w:hAnsi="PMingLiU" w:eastAsia="PMingLiU" w:cs="PMingLiU"/>
      <w:spacing w:val="30"/>
      <w:sz w:val="32"/>
      <w:szCs w:val="32"/>
      <w:u w:val="none"/>
    </w:rPr>
  </w:style>
  <w:style w:type="paragraph" w:customStyle="1" w:styleId="23">
    <w:name w:val="Body text|6"/>
    <w:basedOn w:val="1"/>
    <w:link w:val="22"/>
    <w:qFormat/>
    <w:uiPriority w:val="99"/>
    <w:pPr>
      <w:shd w:val="clear" w:color="auto" w:fill="FFFFFF"/>
      <w:spacing w:after="320" w:line="320" w:lineRule="exact"/>
      <w:jc w:val="center"/>
    </w:pPr>
    <w:rPr>
      <w:rFonts w:ascii="PMingLiU" w:hAnsi="PMingLiU" w:eastAsia="PMingLiU" w:cs="PMingLiU"/>
      <w:spacing w:val="30"/>
      <w:sz w:val="32"/>
      <w:szCs w:val="32"/>
    </w:rPr>
  </w:style>
  <w:style w:type="character" w:customStyle="1" w:styleId="24">
    <w:name w:val="Body text|2 + 12 pt"/>
    <w:basedOn w:val="18"/>
    <w:semiHidden/>
    <w:qFormat/>
    <w:uiPriority w:val="99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/>
    </w:rPr>
  </w:style>
  <w:style w:type="character" w:customStyle="1" w:styleId="25">
    <w:name w:val="Body text|6 + Times New Roman"/>
    <w:basedOn w:val="22"/>
    <w:semiHidden/>
    <w:qFormat/>
    <w:uiPriority w:val="99"/>
    <w:rPr>
      <w:rFonts w:ascii="Times New Roman" w:hAnsi="Times New Roman" w:eastAsia="PMingLiU" w:cs="Times New Roman"/>
      <w:color w:val="000000"/>
      <w:spacing w:val="0"/>
      <w:w w:val="100"/>
      <w:position w:val="0"/>
      <w:sz w:val="34"/>
      <w:szCs w:val="34"/>
      <w:u w:val="none"/>
      <w:lang w:val="zh-CN" w:eastAsia="zh-CN"/>
    </w:rPr>
  </w:style>
  <w:style w:type="character" w:customStyle="1" w:styleId="26">
    <w:name w:val="Header or footer|1_"/>
    <w:basedOn w:val="6"/>
    <w:link w:val="27"/>
    <w:qFormat/>
    <w:locked/>
    <w:uiPriority w:val="99"/>
    <w:rPr>
      <w:rFonts w:ascii="PMingLiU" w:hAnsi="PMingLiU" w:eastAsia="PMingLiU" w:cs="PMingLiU"/>
      <w:spacing w:val="20"/>
      <w:sz w:val="19"/>
      <w:szCs w:val="19"/>
      <w:u w:val="none"/>
    </w:rPr>
  </w:style>
  <w:style w:type="paragraph" w:customStyle="1" w:styleId="27">
    <w:name w:val="Header or footer|11"/>
    <w:basedOn w:val="1"/>
    <w:link w:val="26"/>
    <w:qFormat/>
    <w:uiPriority w:val="99"/>
    <w:pPr>
      <w:shd w:val="clear" w:color="auto" w:fill="FFFFFF"/>
      <w:spacing w:line="190" w:lineRule="exact"/>
    </w:pPr>
    <w:rPr>
      <w:rFonts w:ascii="PMingLiU" w:hAnsi="PMingLiU" w:eastAsia="PMingLiU" w:cs="PMingLiU"/>
      <w:spacing w:val="20"/>
      <w:sz w:val="19"/>
      <w:szCs w:val="19"/>
    </w:rPr>
  </w:style>
  <w:style w:type="character" w:customStyle="1" w:styleId="28">
    <w:name w:val="Header or footer|1"/>
    <w:basedOn w:val="26"/>
    <w:semiHidden/>
    <w:qFormat/>
    <w:uiPriority w:val="99"/>
    <w:rPr>
      <w:rFonts w:ascii="PMingLiU" w:hAnsi="PMingLiU" w:eastAsia="PMingLiU" w:cs="PMingLiU"/>
      <w:color w:val="000000"/>
      <w:spacing w:val="20"/>
      <w:w w:val="100"/>
      <w:position w:val="0"/>
      <w:sz w:val="19"/>
      <w:szCs w:val="19"/>
      <w:u w:val="none"/>
      <w:lang w:val="zh-CN" w:eastAsia="zh-CN"/>
    </w:rPr>
  </w:style>
  <w:style w:type="character" w:customStyle="1" w:styleId="29">
    <w:name w:val="Header or footer|1 + Times New Roman"/>
    <w:basedOn w:val="26"/>
    <w:semiHidden/>
    <w:qFormat/>
    <w:uiPriority w:val="99"/>
    <w:rPr>
      <w:rFonts w:ascii="Times New Roman" w:hAnsi="Times New Roman" w:eastAsia="PMingLiU" w:cs="Times New Roman"/>
      <w:color w:val="000000"/>
      <w:spacing w:val="0"/>
      <w:w w:val="100"/>
      <w:position w:val="0"/>
      <w:sz w:val="18"/>
      <w:szCs w:val="18"/>
      <w:u w:val="none"/>
      <w:lang w:val="zh-CN" w:eastAsia="zh-CN"/>
    </w:rPr>
  </w:style>
  <w:style w:type="character" w:customStyle="1" w:styleId="30">
    <w:name w:val="Heading #1|1_"/>
    <w:basedOn w:val="6"/>
    <w:link w:val="31"/>
    <w:qFormat/>
    <w:locked/>
    <w:uiPriority w:val="99"/>
    <w:rPr>
      <w:rFonts w:ascii="PMingLiU" w:hAnsi="PMingLiU" w:eastAsia="PMingLiU" w:cs="PMingLiU"/>
      <w:sz w:val="36"/>
      <w:szCs w:val="36"/>
      <w:u w:val="none"/>
    </w:rPr>
  </w:style>
  <w:style w:type="paragraph" w:customStyle="1" w:styleId="31">
    <w:name w:val="Heading #1|1"/>
    <w:basedOn w:val="1"/>
    <w:link w:val="30"/>
    <w:qFormat/>
    <w:uiPriority w:val="99"/>
    <w:pPr>
      <w:shd w:val="clear" w:color="auto" w:fill="FFFFFF"/>
      <w:spacing w:before="780" w:line="360" w:lineRule="exact"/>
      <w:outlineLvl w:val="0"/>
    </w:pPr>
    <w:rPr>
      <w:rFonts w:ascii="PMingLiU" w:hAnsi="PMingLiU" w:eastAsia="PMingLiU" w:cs="PMingLiU"/>
      <w:sz w:val="36"/>
      <w:szCs w:val="36"/>
    </w:rPr>
  </w:style>
  <w:style w:type="character" w:customStyle="1" w:styleId="32">
    <w:name w:val="Table caption|1_"/>
    <w:basedOn w:val="6"/>
    <w:link w:val="33"/>
    <w:qFormat/>
    <w:locked/>
    <w:uiPriority w:val="99"/>
    <w:rPr>
      <w:rFonts w:ascii="PMingLiU" w:hAnsi="PMingLiU" w:eastAsia="PMingLiU" w:cs="PMingLiU"/>
      <w:sz w:val="20"/>
      <w:szCs w:val="20"/>
      <w:u w:val="none"/>
    </w:rPr>
  </w:style>
  <w:style w:type="paragraph" w:customStyle="1" w:styleId="33">
    <w:name w:val="Table caption|1"/>
    <w:basedOn w:val="1"/>
    <w:link w:val="32"/>
    <w:qFormat/>
    <w:uiPriority w:val="99"/>
    <w:pPr>
      <w:shd w:val="clear" w:color="auto" w:fill="FFFFFF"/>
      <w:spacing w:line="200" w:lineRule="exact"/>
    </w:pPr>
    <w:rPr>
      <w:rFonts w:ascii="PMingLiU" w:hAnsi="PMingLiU" w:eastAsia="PMingLiU" w:cs="PMingLiU"/>
      <w:sz w:val="20"/>
      <w:szCs w:val="20"/>
    </w:rPr>
  </w:style>
  <w:style w:type="character" w:customStyle="1" w:styleId="34">
    <w:name w:val="Table caption|1 + Spacing 2 pt"/>
    <w:basedOn w:val="32"/>
    <w:semiHidden/>
    <w:qFormat/>
    <w:uiPriority w:val="99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/>
    </w:rPr>
  </w:style>
  <w:style w:type="character" w:customStyle="1" w:styleId="35">
    <w:name w:val="Body text|2 + 10 pt"/>
    <w:basedOn w:val="18"/>
    <w:semiHidden/>
    <w:qFormat/>
    <w:uiPriority w:val="99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/>
    </w:rPr>
  </w:style>
  <w:style w:type="character" w:customStyle="1" w:styleId="36">
    <w:name w:val="Body text|2 + 10 pt1"/>
    <w:basedOn w:val="18"/>
    <w:semiHidden/>
    <w:qFormat/>
    <w:uiPriority w:val="99"/>
    <w:rPr>
      <w:rFonts w:ascii="PMingLiU" w:hAnsi="PMingLiU" w:eastAsia="PMingLiU" w:cs="PMingLiU"/>
      <w:color w:val="000000"/>
      <w:spacing w:val="0"/>
      <w:w w:val="100"/>
      <w:position w:val="0"/>
      <w:sz w:val="20"/>
      <w:szCs w:val="20"/>
      <w:u w:val="none"/>
      <w:lang w:val="zh-CN" w:eastAsia="zh-CN"/>
    </w:rPr>
  </w:style>
  <w:style w:type="character" w:customStyle="1" w:styleId="37">
    <w:name w:val="Body text|2 + 18 pt"/>
    <w:basedOn w:val="18"/>
    <w:semiHidden/>
    <w:qFormat/>
    <w:uiPriority w:val="99"/>
    <w:rPr>
      <w:rFonts w:ascii="PMingLiU" w:hAnsi="PMingLiU" w:eastAsia="PMingLiU" w:cs="PMingLiU"/>
      <w:color w:val="000000"/>
      <w:spacing w:val="90"/>
      <w:w w:val="60"/>
      <w:position w:val="0"/>
      <w:sz w:val="36"/>
      <w:szCs w:val="36"/>
      <w:u w:val="none"/>
      <w:lang w:val="zh-CN" w:eastAsia="zh-CN"/>
    </w:rPr>
  </w:style>
  <w:style w:type="character" w:customStyle="1" w:styleId="38">
    <w:name w:val="Body text|2 + 21 pt"/>
    <w:basedOn w:val="18"/>
    <w:semiHidden/>
    <w:qFormat/>
    <w:uiPriority w:val="99"/>
    <w:rPr>
      <w:rFonts w:ascii="PMingLiU" w:hAnsi="PMingLiU" w:eastAsia="PMingLiU" w:cs="PMingLiU"/>
      <w:color w:val="000000"/>
      <w:spacing w:val="70"/>
      <w:w w:val="90"/>
      <w:position w:val="0"/>
      <w:sz w:val="42"/>
      <w:szCs w:val="42"/>
      <w:u w:val="none"/>
      <w:lang w:val="zh-CN" w:eastAsia="zh-CN"/>
    </w:rPr>
  </w:style>
  <w:style w:type="character" w:customStyle="1" w:styleId="39">
    <w:name w:val="Body text|2 + Times New Roman1"/>
    <w:basedOn w:val="18"/>
    <w:semiHidden/>
    <w:qFormat/>
    <w:uiPriority w:val="99"/>
    <w:rPr>
      <w:rFonts w:ascii="Times New Roman" w:hAnsi="Times New Roman" w:eastAsia="PMingLiU" w:cs="Times New Roman"/>
      <w:color w:val="000000"/>
      <w:spacing w:val="0"/>
      <w:w w:val="100"/>
      <w:position w:val="0"/>
      <w:sz w:val="21"/>
      <w:szCs w:val="21"/>
      <w:u w:val="none"/>
      <w:lang w:val="en-US" w:eastAsia="en-US"/>
    </w:rPr>
  </w:style>
  <w:style w:type="character" w:customStyle="1" w:styleId="40">
    <w:name w:val="Table caption|1 Exact"/>
    <w:basedOn w:val="6"/>
    <w:semiHidden/>
    <w:qFormat/>
    <w:uiPriority w:val="99"/>
    <w:rPr>
      <w:rFonts w:ascii="PMingLiU" w:hAnsi="PMingLiU" w:eastAsia="PMingLiU" w:cs="PMingLiU"/>
      <w:sz w:val="20"/>
      <w:szCs w:val="20"/>
      <w:u w:val="none"/>
    </w:rPr>
  </w:style>
  <w:style w:type="character" w:customStyle="1" w:styleId="41">
    <w:name w:val="Body text|7_"/>
    <w:basedOn w:val="6"/>
    <w:link w:val="42"/>
    <w:qFormat/>
    <w:locked/>
    <w:uiPriority w:val="99"/>
    <w:rPr>
      <w:rFonts w:ascii="PMingLiU" w:hAnsi="PMingLiU" w:eastAsia="PMingLiU" w:cs="PMingLiU"/>
      <w:sz w:val="20"/>
      <w:szCs w:val="20"/>
      <w:u w:val="none"/>
    </w:rPr>
  </w:style>
  <w:style w:type="paragraph" w:customStyle="1" w:styleId="42">
    <w:name w:val="Body text|7"/>
    <w:basedOn w:val="1"/>
    <w:link w:val="41"/>
    <w:uiPriority w:val="99"/>
    <w:pPr>
      <w:shd w:val="clear" w:color="auto" w:fill="FFFFFF"/>
      <w:spacing w:after="320" w:line="200" w:lineRule="exact"/>
      <w:jc w:val="right"/>
    </w:pPr>
    <w:rPr>
      <w:rFonts w:ascii="PMingLiU" w:hAnsi="PMingLiU" w:eastAsia="PMingLiU" w:cs="PMingLiU"/>
      <w:sz w:val="20"/>
      <w:szCs w:val="20"/>
    </w:rPr>
  </w:style>
  <w:style w:type="character" w:customStyle="1" w:styleId="43">
    <w:name w:val="Header or footer|1 + Times New Roman1"/>
    <w:basedOn w:val="26"/>
    <w:semiHidden/>
    <w:uiPriority w:val="99"/>
    <w:rPr>
      <w:rFonts w:ascii="Times New Roman" w:hAnsi="Times New Roman" w:eastAsia="PMingLiU" w:cs="Times New Roman"/>
      <w:color w:val="000000"/>
      <w:spacing w:val="0"/>
      <w:w w:val="100"/>
      <w:position w:val="0"/>
      <w:sz w:val="11"/>
      <w:szCs w:val="11"/>
      <w:u w:val="none"/>
      <w:lang w:val="en-US" w:eastAsia="en-US"/>
    </w:rPr>
  </w:style>
  <w:style w:type="character" w:customStyle="1" w:styleId="44">
    <w:name w:val="Header or footer|1 + 10 pt"/>
    <w:basedOn w:val="26"/>
    <w:semiHidden/>
    <w:uiPriority w:val="99"/>
    <w:rPr>
      <w:rFonts w:ascii="PMingLiU" w:hAnsi="PMingLiU" w:eastAsia="PMingLiU" w:cs="PMingLiU"/>
      <w:color w:val="000000"/>
      <w:spacing w:val="30"/>
      <w:w w:val="80"/>
      <w:position w:val="0"/>
      <w:sz w:val="20"/>
      <w:szCs w:val="20"/>
      <w:u w:val="none"/>
      <w:lang w:val="zh-CN" w:eastAsia="zh-CN"/>
    </w:rPr>
  </w:style>
  <w:style w:type="character" w:customStyle="1" w:styleId="45">
    <w:name w:val="Header or footer|1 + Times New Roman2"/>
    <w:basedOn w:val="26"/>
    <w:semiHidden/>
    <w:qFormat/>
    <w:uiPriority w:val="99"/>
    <w:rPr>
      <w:rFonts w:ascii="Times New Roman" w:hAnsi="Times New Roman" w:eastAsia="PMingLiU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/>
    </w:rPr>
  </w:style>
  <w:style w:type="character" w:customStyle="1" w:styleId="46">
    <w:name w:val="Body text|2 + 10.5 pt"/>
    <w:basedOn w:val="18"/>
    <w:semiHidden/>
    <w:qFormat/>
    <w:uiPriority w:val="99"/>
    <w:rPr>
      <w:rFonts w:ascii="PMingLiU" w:hAnsi="PMingLiU" w:eastAsia="PMingLiU" w:cs="PMingLiU"/>
      <w:color w:val="000000"/>
      <w:spacing w:val="60"/>
      <w:w w:val="100"/>
      <w:position w:val="0"/>
      <w:sz w:val="21"/>
      <w:szCs w:val="21"/>
      <w:u w:val="none"/>
      <w:lang w:val="zh-CN" w:eastAsia="zh-CN"/>
    </w:rPr>
  </w:style>
  <w:style w:type="character" w:customStyle="1" w:styleId="47">
    <w:name w:val="Body text|5 + 5 pt"/>
    <w:basedOn w:val="16"/>
    <w:semiHidden/>
    <w:uiPriority w:val="99"/>
    <w:rPr>
      <w:rFonts w:ascii="PMingLiU" w:hAnsi="PMingLiU" w:eastAsia="PMingLiU" w:cs="PMingLiU"/>
      <w:color w:val="000000"/>
      <w:spacing w:val="30"/>
      <w:w w:val="100"/>
      <w:position w:val="0"/>
      <w:sz w:val="10"/>
      <w:szCs w:val="10"/>
      <w:u w:val="none"/>
      <w:lang w:val="zh-CN" w:eastAsia="zh-CN"/>
    </w:rPr>
  </w:style>
  <w:style w:type="character" w:customStyle="1" w:styleId="48">
    <w:name w:val="Body text|5 + Not Bold"/>
    <w:basedOn w:val="16"/>
    <w:semiHidden/>
    <w:qFormat/>
    <w:uiPriority w:val="99"/>
    <w:rPr>
      <w:rFonts w:ascii="PMingLiU" w:hAnsi="PMingLiU" w:eastAsia="PMingLiU" w:cs="PMingLiU"/>
      <w:color w:val="000000"/>
      <w:spacing w:val="0"/>
      <w:w w:val="100"/>
      <w:position w:val="0"/>
      <w:sz w:val="30"/>
      <w:szCs w:val="30"/>
      <w:u w:val="none"/>
      <w:lang w:val="zh-CN" w:eastAsia="zh-CN"/>
    </w:rPr>
  </w:style>
  <w:style w:type="character" w:customStyle="1" w:styleId="49">
    <w:name w:val="Body text|8_"/>
    <w:basedOn w:val="6"/>
    <w:link w:val="50"/>
    <w:locked/>
    <w:uiPriority w:val="99"/>
    <w:rPr>
      <w:rFonts w:ascii="PMingLiU" w:hAnsi="PMingLiU" w:eastAsia="PMingLiU" w:cs="PMingLiU"/>
      <w:sz w:val="30"/>
      <w:szCs w:val="30"/>
      <w:u w:val="none"/>
    </w:rPr>
  </w:style>
  <w:style w:type="paragraph" w:customStyle="1" w:styleId="50">
    <w:name w:val="Body text|8"/>
    <w:basedOn w:val="1"/>
    <w:link w:val="49"/>
    <w:qFormat/>
    <w:uiPriority w:val="99"/>
    <w:pPr>
      <w:shd w:val="clear" w:color="auto" w:fill="FFFFFF"/>
      <w:spacing w:line="600" w:lineRule="exact"/>
      <w:ind w:firstLine="720"/>
      <w:jc w:val="distribute"/>
    </w:pPr>
    <w:rPr>
      <w:rFonts w:ascii="PMingLiU" w:hAnsi="PMingLiU" w:eastAsia="PMingLiU" w:cs="PMingLiU"/>
      <w:sz w:val="30"/>
      <w:szCs w:val="30"/>
    </w:rPr>
  </w:style>
  <w:style w:type="character" w:customStyle="1" w:styleId="51">
    <w:name w:val="Body text|2 + 12 pt1"/>
    <w:basedOn w:val="18"/>
    <w:semiHidden/>
    <w:uiPriority w:val="99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832</Words>
  <Characters>4747</Characters>
  <Lines>39</Lines>
  <Paragraphs>11</Paragraphs>
  <TotalTime>6</TotalTime>
  <ScaleCrop>false</ScaleCrop>
  <LinksUpToDate>false</LinksUpToDate>
  <CharactersWithSpaces>5568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2019-03-26T07:34:00Z</dcterms:created>
  <dc:creator>Administrator</dc:creator>
  <cp:lastModifiedBy>石台县广播电视台本级</cp:lastModifiedBy>
  <cp:lastPrinted>2019-02-18T00:59:00Z</cp:lastPrinted>
  <dcterms:modified xsi:type="dcterms:W3CDTF">2020-03-05T07:20:18Z</dcterms:modified>
  <dc:title>石台县广播电视台2019年部门预算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