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val="0"/>
        <w:shd w:val="clear" w:color="auto" w:fill="auto"/>
        <w:kinsoku w:val="0"/>
        <w:wordWrap/>
        <w:overflowPunct/>
        <w:topLinePunct w:val="0"/>
        <w:autoSpaceDE/>
        <w:autoSpaceDN/>
        <w:bidi w:val="0"/>
        <w:adjustRightInd/>
        <w:snapToGrid/>
        <w:spacing w:after="0" w:line="900" w:lineRule="exact"/>
        <w:textAlignment w:val="auto"/>
        <w:rPr>
          <w:rFonts w:hint="eastAsia" w:eastAsia="宋体"/>
          <w:b/>
          <w:bCs/>
          <w:lang w:eastAsia="zh-CN"/>
        </w:rPr>
      </w:pPr>
      <w:r>
        <w:rPr>
          <w:rFonts w:hint="eastAsia" w:eastAsiaTheme="minorEastAsia"/>
          <w:b/>
          <w:bCs/>
        </w:rPr>
        <w:t>石台县</w:t>
      </w:r>
      <w:r>
        <w:rPr>
          <w:rFonts w:hint="eastAsia" w:eastAsiaTheme="minorEastAsia"/>
          <w:b/>
          <w:bCs/>
          <w:lang w:val="en-US" w:eastAsia="zh-CN"/>
        </w:rPr>
        <w:t>公共资源交易服务中心</w:t>
      </w:r>
    </w:p>
    <w:p>
      <w:pPr>
        <w:pStyle w:val="6"/>
        <w:keepNext w:val="0"/>
        <w:keepLines w:val="0"/>
        <w:pageBreakBefore w:val="0"/>
        <w:widowControl w:val="0"/>
        <w:shd w:val="clear" w:color="auto" w:fill="auto"/>
        <w:kinsoku w:val="0"/>
        <w:wordWrap/>
        <w:overflowPunct/>
        <w:topLinePunct w:val="0"/>
        <w:autoSpaceDE/>
        <w:autoSpaceDN/>
        <w:bidi w:val="0"/>
        <w:adjustRightInd/>
        <w:snapToGrid/>
        <w:spacing w:after="0" w:line="900" w:lineRule="exact"/>
        <w:textAlignment w:val="auto"/>
        <w:rPr>
          <w:b/>
          <w:bCs/>
        </w:rPr>
      </w:pPr>
      <w:r>
        <w:rPr>
          <w:rStyle w:val="7"/>
          <w:rFonts w:hint="eastAsia" w:eastAsia="PMingLiU"/>
        </w:rPr>
        <w:t>20</w:t>
      </w:r>
      <w:r>
        <w:rPr>
          <w:rStyle w:val="7"/>
          <w:rFonts w:hint="eastAsia"/>
          <w:lang w:val="en-US"/>
        </w:rPr>
        <w:t>20</w:t>
      </w:r>
      <w:r>
        <w:rPr>
          <w:rStyle w:val="7"/>
          <w:rFonts w:hint="eastAsia" w:eastAsia="PMingLiU"/>
        </w:rPr>
        <w:t>年</w:t>
      </w:r>
      <w:r>
        <w:rPr>
          <w:b/>
          <w:bCs/>
        </w:rPr>
        <w:t>部门预算</w:t>
      </w: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shd w:val="clear" w:color="auto" w:fill="auto"/>
        <w:spacing w:after="0" w:line="560" w:lineRule="exact"/>
      </w:pPr>
    </w:p>
    <w:p>
      <w:pPr>
        <w:pStyle w:val="6"/>
        <w:keepNext w:val="0"/>
        <w:keepLines w:val="0"/>
        <w:pageBreakBefore w:val="0"/>
        <w:widowControl w:val="0"/>
        <w:shd w:val="clear" w:color="auto" w:fill="auto"/>
        <w:kinsoku w:val="0"/>
        <w:wordWrap/>
        <w:overflowPunct/>
        <w:topLinePunct w:val="0"/>
        <w:autoSpaceDE/>
        <w:autoSpaceDN/>
        <w:bidi w:val="0"/>
        <w:adjustRightInd/>
        <w:snapToGrid/>
        <w:spacing w:after="0" w:line="900" w:lineRule="exact"/>
        <w:textAlignment w:val="auto"/>
        <w:rPr>
          <w:rStyle w:val="7"/>
          <w:rFonts w:hint="eastAsia" w:eastAsia="PMingLiU"/>
          <w:sz w:val="36"/>
          <w:szCs w:val="36"/>
          <w:lang w:val="en-US"/>
        </w:rPr>
        <w:sectPr>
          <w:pgSz w:w="11900" w:h="16840"/>
          <w:pgMar w:top="4790" w:right="1134" w:bottom="3554" w:left="1134" w:header="0" w:footer="3" w:gutter="0"/>
          <w:cols w:space="720" w:num="1"/>
          <w:docGrid w:linePitch="360" w:charSpace="0"/>
        </w:sectPr>
      </w:pPr>
      <w:r>
        <w:rPr>
          <w:rStyle w:val="7"/>
          <w:rFonts w:hint="eastAsia" w:eastAsia="PMingLiU"/>
          <w:sz w:val="36"/>
          <w:szCs w:val="36"/>
        </w:rPr>
        <w:t>20</w:t>
      </w:r>
      <w:r>
        <w:rPr>
          <w:rStyle w:val="7"/>
          <w:rFonts w:hint="eastAsia" w:eastAsia="PMingLiU"/>
          <w:sz w:val="36"/>
          <w:szCs w:val="36"/>
          <w:lang w:val="en-US"/>
        </w:rPr>
        <w:t>20</w:t>
      </w:r>
      <w:r>
        <w:rPr>
          <w:rStyle w:val="7"/>
          <w:rFonts w:hint="eastAsia" w:eastAsia="PMingLiU"/>
          <w:sz w:val="36"/>
          <w:szCs w:val="36"/>
        </w:rPr>
        <w:t>年</w:t>
      </w:r>
      <w:r>
        <w:rPr>
          <w:rStyle w:val="7"/>
          <w:rFonts w:hint="eastAsia"/>
          <w:sz w:val="36"/>
          <w:szCs w:val="36"/>
          <w:lang w:val="en-US"/>
        </w:rPr>
        <w:t>1</w:t>
      </w:r>
      <w:bookmarkStart w:id="0" w:name="_GoBack"/>
      <w:bookmarkEnd w:id="0"/>
      <w:r>
        <w:rPr>
          <w:rStyle w:val="7"/>
          <w:rFonts w:hint="eastAsia" w:eastAsia="PMingLiU"/>
          <w:sz w:val="36"/>
          <w:szCs w:val="36"/>
        </w:rPr>
        <w:t>月</w:t>
      </w:r>
      <w:r>
        <w:rPr>
          <w:rStyle w:val="7"/>
          <w:rFonts w:hint="eastAsia"/>
          <w:sz w:val="36"/>
          <w:szCs w:val="36"/>
          <w:lang w:val="en-US"/>
        </w:rPr>
        <w:t>20</w:t>
      </w:r>
      <w:r>
        <w:rPr>
          <w:rStyle w:val="7"/>
          <w:rFonts w:hint="eastAsia" w:eastAsia="PMingLiU"/>
          <w:sz w:val="36"/>
          <w:szCs w:val="36"/>
          <w:lang w:val="en-US"/>
        </w:rPr>
        <w:t>日</w:t>
      </w:r>
    </w:p>
    <w:p>
      <w:pPr>
        <w:keepNext w:val="0"/>
        <w:keepLines w:val="0"/>
        <w:pageBreakBefore w:val="0"/>
        <w:widowControl w:val="0"/>
        <w:kinsoku/>
        <w:wordWrap/>
        <w:overflowPunct/>
        <w:topLinePunct w:val="0"/>
        <w:autoSpaceDE/>
        <w:autoSpaceDN/>
        <w:bidi w:val="0"/>
        <w:adjustRightInd/>
        <w:snapToGrid/>
        <w:spacing w:before="65" w:after="65" w:line="360" w:lineRule="auto"/>
        <w:jc w:val="center"/>
        <w:textAlignment w:val="auto"/>
        <w:rPr>
          <w:rFonts w:hint="eastAsia" w:ascii="微软雅黑" w:hAnsi="微软雅黑" w:eastAsia="微软雅黑" w:cs="微软雅黑"/>
          <w:sz w:val="36"/>
          <w:szCs w:val="36"/>
          <w:lang w:eastAsia="zh-CN"/>
        </w:rPr>
      </w:pPr>
      <w:r>
        <w:rPr>
          <w:rFonts w:hint="eastAsia" w:ascii="微软雅黑" w:hAnsi="微软雅黑" w:eastAsia="微软雅黑" w:cs="微软雅黑"/>
          <w:sz w:val="36"/>
          <w:szCs w:val="36"/>
          <w:lang w:eastAsia="zh-CN"/>
        </w:rPr>
        <w:t>目</w:t>
      </w:r>
      <w:r>
        <w:rPr>
          <w:rFonts w:hint="eastAsia" w:ascii="微软雅黑" w:hAnsi="微软雅黑" w:eastAsia="微软雅黑" w:cs="微软雅黑"/>
          <w:sz w:val="36"/>
          <w:szCs w:val="36"/>
          <w:lang w:val="en-US" w:eastAsia="zh-CN"/>
        </w:rPr>
        <w:t xml:space="preserve"> </w:t>
      </w:r>
      <w:r>
        <w:rPr>
          <w:rFonts w:hint="eastAsia" w:ascii="微软雅黑" w:hAnsi="微软雅黑" w:eastAsia="微软雅黑" w:cs="微软雅黑"/>
          <w:sz w:val="36"/>
          <w:szCs w:val="36"/>
          <w:lang w:eastAsia="zh-CN"/>
        </w:rPr>
        <w:t>录</w:t>
      </w:r>
    </w:p>
    <w:p>
      <w:pPr>
        <w:rPr>
          <w:rFonts w:hint="eastAsia" w:eastAsia="宋体"/>
          <w:sz w:val="2"/>
          <w:szCs w:val="2"/>
          <w:lang w:eastAsia="zh-CN"/>
        </w:rPr>
        <w:sectPr>
          <w:pgSz w:w="11900" w:h="16840"/>
          <w:pgMar w:top="1920" w:right="0" w:bottom="1775" w:left="0" w:header="0" w:footer="3" w:gutter="0"/>
          <w:cols w:space="720" w:num="1"/>
          <w:docGrid w:linePitch="360" w:charSpace="0"/>
        </w:sectPr>
      </w:pPr>
      <w:r>
        <w:rPr>
          <w:rFonts w:hint="eastAsia" w:eastAsia="宋体"/>
          <w:sz w:val="2"/>
          <w:szCs w:val="2"/>
          <w:lang w:eastAsia="zh-CN"/>
        </w:rPr>
        <w:t>目录</w:t>
      </w:r>
    </w:p>
    <w:p>
      <w:pPr>
        <w:pStyle w:val="12"/>
        <w:shd w:val="clear" w:color="auto" w:fill="auto"/>
        <w:outlineLvl w:val="0"/>
        <w:rPr>
          <w:rFonts w:ascii="仿宋" w:hAnsi="仿宋" w:eastAsia="仿宋" w:cs="仿宋"/>
          <w:sz w:val="32"/>
          <w:szCs w:val="32"/>
        </w:rPr>
      </w:pPr>
      <w:r>
        <w:rPr>
          <w:rFonts w:hint="eastAsia" w:ascii="仿宋" w:hAnsi="仿宋" w:eastAsia="仿宋" w:cs="仿宋"/>
          <w:sz w:val="32"/>
          <w:szCs w:val="32"/>
        </w:rPr>
        <w:t>第一部分</w:t>
      </w:r>
      <w:r>
        <w:rPr>
          <w:rFonts w:hint="eastAsia" w:ascii="仿宋" w:hAnsi="仿宋" w:eastAsia="仿宋" w:cs="仿宋"/>
          <w:sz w:val="32"/>
          <w:szCs w:val="32"/>
          <w:lang w:val="en-US"/>
        </w:rPr>
        <w:t xml:space="preserve"> </w:t>
      </w:r>
      <w:r>
        <w:rPr>
          <w:rFonts w:hint="eastAsia" w:ascii="仿宋" w:hAnsi="仿宋" w:eastAsia="仿宋" w:cs="仿宋"/>
          <w:sz w:val="32"/>
          <w:szCs w:val="32"/>
        </w:rPr>
        <w:t>部门概况</w:t>
      </w:r>
    </w:p>
    <w:p>
      <w:pPr>
        <w:pStyle w:val="14"/>
        <w:numPr>
          <w:ilvl w:val="0"/>
          <w:numId w:val="1"/>
        </w:numPr>
        <w:shd w:val="clear" w:color="auto" w:fill="auto"/>
        <w:tabs>
          <w:tab w:val="left" w:pos="382"/>
        </w:tabs>
        <w:spacing w:before="0"/>
        <w:rPr>
          <w:rFonts w:ascii="仿宋" w:hAnsi="仿宋" w:eastAsia="仿宋" w:cs="仿宋"/>
          <w:sz w:val="32"/>
          <w:szCs w:val="32"/>
        </w:rPr>
      </w:pPr>
      <w:r>
        <w:rPr>
          <w:rFonts w:hint="eastAsia" w:ascii="仿宋" w:hAnsi="仿宋" w:eastAsia="仿宋" w:cs="仿宋"/>
          <w:sz w:val="32"/>
          <w:szCs w:val="32"/>
        </w:rPr>
        <w:t>主要职责</w:t>
      </w:r>
    </w:p>
    <w:p>
      <w:pPr>
        <w:pStyle w:val="14"/>
        <w:numPr>
          <w:ilvl w:val="0"/>
          <w:numId w:val="1"/>
        </w:numPr>
        <w:shd w:val="clear" w:color="auto" w:fill="auto"/>
        <w:tabs>
          <w:tab w:val="left" w:pos="392"/>
        </w:tabs>
        <w:spacing w:before="0" w:after="30"/>
        <w:rPr>
          <w:rFonts w:ascii="仿宋" w:hAnsi="仿宋" w:eastAsia="仿宋" w:cs="仿宋"/>
          <w:sz w:val="32"/>
          <w:szCs w:val="32"/>
        </w:rPr>
      </w:pPr>
      <w:r>
        <w:rPr>
          <w:rFonts w:hint="eastAsia" w:ascii="仿宋" w:hAnsi="仿宋" w:eastAsia="仿宋" w:cs="仿宋"/>
          <w:sz w:val="32"/>
          <w:szCs w:val="32"/>
        </w:rPr>
        <w:t>部门预算单位构成</w:t>
      </w:r>
    </w:p>
    <w:p>
      <w:pPr>
        <w:pStyle w:val="14"/>
        <w:numPr>
          <w:ilvl w:val="0"/>
          <w:numId w:val="1"/>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年度主要工作任务</w:t>
      </w:r>
    </w:p>
    <w:p>
      <w:pPr>
        <w:pStyle w:val="12"/>
        <w:shd w:val="clear" w:color="auto" w:fill="auto"/>
        <w:spacing w:after="0" w:line="538" w:lineRule="exact"/>
        <w:outlineLvl w:val="0"/>
        <w:rPr>
          <w:rFonts w:ascii="仿宋" w:hAnsi="仿宋" w:eastAsia="仿宋" w:cs="仿宋"/>
          <w:sz w:val="32"/>
          <w:szCs w:val="32"/>
        </w:rPr>
      </w:pPr>
      <w:r>
        <w:rPr>
          <w:rFonts w:hint="eastAsia" w:ascii="仿宋" w:hAnsi="仿宋" w:eastAsia="仿宋" w:cs="仿宋"/>
          <w:sz w:val="32"/>
          <w:szCs w:val="32"/>
        </w:rPr>
        <w:t>第二部分</w:t>
      </w:r>
      <w:r>
        <w:rPr>
          <w:rFonts w:hint="eastAsia" w:ascii="仿宋" w:hAnsi="仿宋" w:eastAsia="仿宋" w:cs="仿宋"/>
          <w:sz w:val="32"/>
          <w:szCs w:val="32"/>
          <w:lang w:val="en-US"/>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1.关于20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年财政拨款收支预算总体情况说明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2.关于20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年一般公共预算财政拨款情况说明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3.关于20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年一般公共预算基本支出情况说明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rPr>
        <w:t>4.关于20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年政府性基金预算拨款情况说明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5</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年收支预算总体情况说明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6</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年收入预算情况说明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7</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年支出预算情况说明</w:t>
      </w:r>
    </w:p>
    <w:p>
      <w:pPr>
        <w:pStyle w:val="12"/>
        <w:shd w:val="clear" w:color="auto" w:fill="auto"/>
        <w:spacing w:after="0" w:line="538" w:lineRule="exact"/>
        <w:rPr>
          <w:rFonts w:ascii="仿宋" w:hAnsi="仿宋" w:eastAsia="仿宋" w:cs="仿宋"/>
          <w:b w:val="0"/>
          <w:bCs w:val="0"/>
          <w:sz w:val="32"/>
          <w:szCs w:val="32"/>
        </w:rPr>
      </w:pPr>
      <w:r>
        <w:rPr>
          <w:rFonts w:hint="eastAsia" w:ascii="仿宋" w:hAnsi="仿宋" w:eastAsia="仿宋" w:cs="仿宋"/>
          <w:b w:val="0"/>
          <w:bCs w:val="0"/>
          <w:sz w:val="32"/>
          <w:szCs w:val="32"/>
          <w:lang w:val="en-US"/>
        </w:rPr>
        <w:t>8</w:t>
      </w:r>
      <w:r>
        <w:rPr>
          <w:rFonts w:hint="eastAsia" w:ascii="仿宋" w:hAnsi="仿宋" w:eastAsia="仿宋" w:cs="仿宋"/>
          <w:b w:val="0"/>
          <w:bCs w:val="0"/>
          <w:sz w:val="32"/>
          <w:szCs w:val="32"/>
        </w:rPr>
        <w:t>.关于20</w:t>
      </w:r>
      <w:r>
        <w:rPr>
          <w:rFonts w:hint="eastAsia" w:ascii="仿宋" w:hAnsi="仿宋" w:eastAsia="仿宋" w:cs="仿宋"/>
          <w:b w:val="0"/>
          <w:bCs w:val="0"/>
          <w:sz w:val="32"/>
          <w:szCs w:val="32"/>
          <w:lang w:val="en-US" w:eastAsia="zh-CN"/>
        </w:rPr>
        <w:t>20</w:t>
      </w:r>
      <w:r>
        <w:rPr>
          <w:rFonts w:hint="eastAsia" w:ascii="仿宋" w:hAnsi="仿宋" w:eastAsia="仿宋" w:cs="仿宋"/>
          <w:b w:val="0"/>
          <w:bCs w:val="0"/>
          <w:sz w:val="32"/>
          <w:szCs w:val="32"/>
        </w:rPr>
        <w:t>年国有资本经营预算拨款情况说明</w:t>
      </w:r>
    </w:p>
    <w:p>
      <w:pPr>
        <w:pStyle w:val="12"/>
        <w:shd w:val="clear" w:color="auto" w:fill="auto"/>
        <w:spacing w:after="0" w:line="538" w:lineRule="exact"/>
        <w:rPr>
          <w:rFonts w:ascii="仿宋" w:hAnsi="仿宋" w:eastAsia="仿宋" w:cs="仿宋"/>
          <w:b w:val="0"/>
          <w:bCs w:val="0"/>
          <w:sz w:val="32"/>
          <w:szCs w:val="32"/>
          <w:lang w:val="en-US"/>
        </w:rPr>
      </w:pPr>
      <w:r>
        <w:rPr>
          <w:rFonts w:hint="eastAsia" w:ascii="仿宋" w:hAnsi="仿宋" w:eastAsia="仿宋" w:cs="仿宋"/>
          <w:b w:val="0"/>
          <w:bCs w:val="0"/>
          <w:sz w:val="32"/>
          <w:szCs w:val="32"/>
          <w:lang w:val="en-US"/>
        </w:rPr>
        <w:t>9.批复绩效目标的项目及绩效目标设置情况说明</w:t>
      </w:r>
    </w:p>
    <w:p>
      <w:pPr>
        <w:pStyle w:val="12"/>
        <w:shd w:val="clear" w:color="auto" w:fill="auto"/>
        <w:spacing w:after="0" w:line="538" w:lineRule="exact"/>
        <w:rPr>
          <w:rFonts w:ascii="仿宋" w:hAnsi="仿宋" w:eastAsia="仿宋" w:cs="仿宋"/>
          <w:b w:val="0"/>
          <w:bCs w:val="0"/>
          <w:sz w:val="32"/>
          <w:szCs w:val="32"/>
          <w:highlight w:val="yellow"/>
        </w:rPr>
      </w:pPr>
      <w:r>
        <w:rPr>
          <w:rFonts w:hint="eastAsia" w:ascii="仿宋" w:hAnsi="仿宋" w:eastAsia="仿宋" w:cs="仿宋"/>
          <w:b w:val="0"/>
          <w:bCs w:val="0"/>
          <w:sz w:val="32"/>
          <w:szCs w:val="32"/>
          <w:lang w:val="en-US"/>
        </w:rPr>
        <w:t>10</w:t>
      </w:r>
      <w:r>
        <w:rPr>
          <w:rFonts w:hint="eastAsia" w:ascii="仿宋" w:hAnsi="仿宋" w:eastAsia="仿宋" w:cs="仿宋"/>
          <w:b w:val="0"/>
          <w:bCs w:val="0"/>
          <w:sz w:val="32"/>
          <w:szCs w:val="32"/>
        </w:rPr>
        <w:t xml:space="preserve">.其他重要事项情况说明（含机关运行经费、政府采购预算、政府购买服务预算、国有资产占用情况等说明） </w:t>
      </w:r>
    </w:p>
    <w:p>
      <w:pPr>
        <w:pStyle w:val="14"/>
        <w:shd w:val="clear" w:color="auto" w:fill="auto"/>
        <w:tabs>
          <w:tab w:val="left" w:pos="392"/>
        </w:tabs>
        <w:spacing w:before="0" w:after="0" w:line="538" w:lineRule="exact"/>
        <w:outlineLvl w:val="0"/>
        <w:rPr>
          <w:rFonts w:ascii="仿宋" w:hAnsi="仿宋" w:eastAsia="仿宋" w:cs="仿宋"/>
          <w:sz w:val="32"/>
          <w:szCs w:val="32"/>
        </w:rPr>
      </w:pPr>
      <w:r>
        <w:rPr>
          <w:rStyle w:val="16"/>
          <w:rFonts w:hint="eastAsia" w:ascii="仿宋" w:hAnsi="仿宋" w:eastAsia="仿宋" w:cs="仿宋"/>
          <w:sz w:val="32"/>
          <w:szCs w:val="32"/>
        </w:rPr>
        <w:t>第三部分</w:t>
      </w:r>
      <w:r>
        <w:rPr>
          <w:rStyle w:val="16"/>
          <w:rFonts w:hint="eastAsia" w:ascii="仿宋" w:hAnsi="仿宋" w:eastAsia="仿宋" w:cs="仿宋"/>
          <w:sz w:val="32"/>
          <w:szCs w:val="32"/>
          <w:lang w:val="en-US"/>
        </w:rPr>
        <w:t xml:space="preserve"> </w:t>
      </w:r>
      <w:r>
        <w:rPr>
          <w:rStyle w:val="16"/>
          <w:rFonts w:hint="eastAsia" w:ascii="仿宋" w:hAnsi="仿宋" w:eastAsia="仿宋" w:cs="仿宋"/>
          <w:sz w:val="32"/>
          <w:szCs w:val="32"/>
        </w:rPr>
        <w:t>名词解释</w:t>
      </w:r>
    </w:p>
    <w:p>
      <w:pPr>
        <w:pStyle w:val="12"/>
        <w:shd w:val="clear" w:color="auto" w:fill="auto"/>
        <w:spacing w:after="0" w:line="538" w:lineRule="exact"/>
        <w:outlineLvl w:val="0"/>
        <w:rPr>
          <w:rFonts w:ascii="仿宋" w:hAnsi="仿宋" w:eastAsia="仿宋" w:cs="仿宋"/>
          <w:sz w:val="32"/>
          <w:szCs w:val="32"/>
        </w:rPr>
      </w:pPr>
      <w:r>
        <w:rPr>
          <w:rFonts w:hint="eastAsia" w:ascii="仿宋" w:hAnsi="仿宋" w:eastAsia="仿宋" w:cs="仿宋"/>
          <w:sz w:val="32"/>
          <w:szCs w:val="32"/>
        </w:rPr>
        <w:t>第四部分</w:t>
      </w:r>
      <w:r>
        <w:rPr>
          <w:rFonts w:hint="eastAsia" w:ascii="仿宋" w:hAnsi="仿宋" w:eastAsia="仿宋" w:cs="仿宋"/>
          <w:sz w:val="32"/>
          <w:szCs w:val="32"/>
          <w:lang w:val="en-US"/>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年部门预算表（附表）</w:t>
      </w:r>
    </w:p>
    <w:p>
      <w:pPr>
        <w:pStyle w:val="14"/>
        <w:numPr>
          <w:ilvl w:val="0"/>
          <w:numId w:val="2"/>
        </w:numPr>
        <w:shd w:val="clear" w:color="auto" w:fill="auto"/>
        <w:tabs>
          <w:tab w:val="left" w:pos="38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年部门财政拨款收支预算总表</w:t>
      </w:r>
    </w:p>
    <w:p>
      <w:pPr>
        <w:pStyle w:val="14"/>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年部门一般公共预算支出预算表</w:t>
      </w:r>
    </w:p>
    <w:p>
      <w:pPr>
        <w:pStyle w:val="14"/>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年部门一般公共预算基本支出预算表</w:t>
      </w:r>
    </w:p>
    <w:p>
      <w:pPr>
        <w:pStyle w:val="14"/>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年部门政府性基金预算支出预算表</w:t>
      </w:r>
    </w:p>
    <w:p>
      <w:pPr>
        <w:pStyle w:val="14"/>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年部门收支预算总表</w:t>
      </w:r>
    </w:p>
    <w:p>
      <w:pPr>
        <w:pStyle w:val="14"/>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年部门收入预算总表</w:t>
      </w:r>
    </w:p>
    <w:p>
      <w:pPr>
        <w:pStyle w:val="14"/>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年部门支出预算总表</w:t>
      </w:r>
    </w:p>
    <w:p>
      <w:pPr>
        <w:pStyle w:val="14"/>
        <w:numPr>
          <w:ilvl w:val="0"/>
          <w:numId w:val="2"/>
        </w:numPr>
        <w:shd w:val="clear" w:color="auto" w:fill="auto"/>
        <w:tabs>
          <w:tab w:val="left" w:pos="411"/>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年部门</w:t>
      </w:r>
      <w:r>
        <w:rPr>
          <w:rFonts w:hint="eastAsia" w:ascii="仿宋" w:hAnsi="仿宋" w:eastAsia="仿宋" w:cs="仿宋"/>
          <w:sz w:val="32"/>
          <w:szCs w:val="32"/>
        </w:rPr>
        <w:t>国有资本经营预算支出预算表</w:t>
      </w:r>
    </w:p>
    <w:p>
      <w:pPr>
        <w:pStyle w:val="14"/>
        <w:numPr>
          <w:ilvl w:val="0"/>
          <w:numId w:val="2"/>
        </w:numPr>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年部门政府采购预算表</w:t>
      </w:r>
    </w:p>
    <w:p>
      <w:pPr>
        <w:pStyle w:val="14"/>
        <w:shd w:val="clear" w:color="auto" w:fill="auto"/>
        <w:tabs>
          <w:tab w:val="left" w:pos="392"/>
        </w:tabs>
        <w:spacing w:before="0" w:after="0" w:line="538" w:lineRule="exact"/>
        <w:rPr>
          <w:rFonts w:ascii="仿宋" w:hAnsi="仿宋" w:eastAsia="仿宋" w:cs="仿宋"/>
          <w:sz w:val="32"/>
          <w:szCs w:val="32"/>
        </w:rPr>
      </w:pPr>
      <w:r>
        <w:rPr>
          <w:rFonts w:hint="eastAsia" w:ascii="仿宋" w:hAnsi="仿宋" w:eastAsia="仿宋" w:cs="仿宋"/>
          <w:sz w:val="32"/>
          <w:szCs w:val="32"/>
          <w:lang w:val="en-US"/>
        </w:rPr>
        <w:t>10.20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年政府购买服务预算表</w:t>
      </w: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ind w:left="80"/>
      </w:pPr>
    </w:p>
    <w:p>
      <w:pPr>
        <w:pStyle w:val="18"/>
        <w:shd w:val="clear" w:color="auto" w:fill="auto"/>
        <w:spacing w:after="81" w:line="360" w:lineRule="auto"/>
        <w:jc w:val="both"/>
      </w:pPr>
    </w:p>
    <w:p>
      <w:pPr>
        <w:pStyle w:val="18"/>
        <w:shd w:val="clear" w:color="auto" w:fill="auto"/>
        <w:spacing w:after="81" w:line="360" w:lineRule="auto"/>
        <w:ind w:firstLine="763" w:firstLineChars="200"/>
        <w:outlineLvl w:val="0"/>
        <w:rPr>
          <w:rFonts w:ascii="仿宋" w:hAnsi="仿宋" w:eastAsia="仿宋" w:cs="仿宋"/>
          <w:b/>
          <w:bCs/>
        </w:rPr>
      </w:pPr>
      <w:r>
        <w:rPr>
          <w:rFonts w:hint="eastAsia" w:ascii="仿宋" w:hAnsi="仿宋" w:eastAsia="仿宋" w:cs="仿宋"/>
          <w:b/>
          <w:bCs/>
        </w:rPr>
        <w:t>第一部分</w:t>
      </w:r>
      <w:r>
        <w:rPr>
          <w:rFonts w:hint="eastAsia" w:ascii="仿宋" w:hAnsi="仿宋" w:eastAsia="仿宋" w:cs="仿宋"/>
          <w:b/>
          <w:bCs/>
          <w:lang w:val="en-US"/>
        </w:rPr>
        <w:t xml:space="preserve"> </w:t>
      </w:r>
      <w:r>
        <w:rPr>
          <w:rFonts w:hint="eastAsia" w:ascii="仿宋" w:hAnsi="仿宋" w:eastAsia="仿宋" w:cs="仿宋"/>
          <w:b/>
          <w:bCs/>
        </w:rPr>
        <w:t>部门概况</w:t>
      </w:r>
    </w:p>
    <w:p>
      <w:pPr>
        <w:pStyle w:val="12"/>
        <w:shd w:val="clear" w:color="auto" w:fill="auto"/>
        <w:tabs>
          <w:tab w:val="left" w:pos="1301"/>
        </w:tabs>
        <w:spacing w:after="0" w:line="360" w:lineRule="auto"/>
        <w:ind w:firstLine="763" w:firstLineChars="200"/>
        <w:jc w:val="both"/>
        <w:outlineLvl w:val="1"/>
        <w:rPr>
          <w:rFonts w:ascii="仿宋" w:hAnsi="仿宋" w:eastAsia="仿宋" w:cs="仿宋"/>
          <w:sz w:val="32"/>
          <w:szCs w:val="32"/>
        </w:rPr>
      </w:pPr>
      <w:r>
        <w:rPr>
          <w:rFonts w:hint="eastAsia" w:ascii="仿宋" w:hAnsi="仿宋" w:eastAsia="仿宋" w:cs="仿宋"/>
          <w:sz w:val="32"/>
          <w:szCs w:val="32"/>
        </w:rPr>
        <w:t>一、</w:t>
      </w:r>
      <w:r>
        <w:rPr>
          <w:rFonts w:hint="eastAsia" w:ascii="仿宋" w:hAnsi="仿宋" w:eastAsia="仿宋" w:cs="仿宋"/>
          <w:sz w:val="32"/>
          <w:szCs w:val="32"/>
        </w:rPr>
        <w:tab/>
      </w:r>
      <w:r>
        <w:rPr>
          <w:rFonts w:hint="eastAsia" w:ascii="仿宋" w:hAnsi="仿宋" w:eastAsia="仿宋" w:cs="仿宋"/>
          <w:sz w:val="32"/>
          <w:szCs w:val="32"/>
        </w:rPr>
        <w:t>主要职责</w:t>
      </w:r>
    </w:p>
    <w:p>
      <w:pPr>
        <w:pStyle w:val="14"/>
        <w:shd w:val="clear" w:color="auto" w:fill="auto"/>
        <w:spacing w:before="0" w:after="0" w:line="360" w:lineRule="auto"/>
        <w:ind w:firstLine="760" w:firstLineChars="200"/>
        <w:jc w:val="both"/>
        <w:rPr>
          <w:rFonts w:hint="eastAsia" w:ascii="仿宋" w:hAnsi="仿宋" w:eastAsia="仿宋" w:cs="仿宋"/>
          <w:sz w:val="32"/>
          <w:szCs w:val="32"/>
        </w:rPr>
      </w:pPr>
      <w:r>
        <w:rPr>
          <w:rFonts w:hint="eastAsia" w:ascii="仿宋" w:hAnsi="仿宋" w:eastAsia="仿宋" w:cs="仿宋"/>
          <w:sz w:val="32"/>
          <w:szCs w:val="32"/>
        </w:rPr>
        <w:t>(一)负责全县招标采购日常管理工作;负责拟定全县招标采购交易制度和办法，规范招标采购交易行为。 </w:t>
      </w:r>
    </w:p>
    <w:p>
      <w:pPr>
        <w:pStyle w:val="14"/>
        <w:shd w:val="clear" w:color="auto" w:fill="auto"/>
        <w:spacing w:before="0" w:after="0" w:line="360" w:lineRule="auto"/>
        <w:ind w:firstLine="760" w:firstLineChars="200"/>
        <w:jc w:val="both"/>
        <w:rPr>
          <w:rFonts w:hint="eastAsia" w:ascii="仿宋" w:hAnsi="仿宋" w:eastAsia="仿宋" w:cs="仿宋"/>
          <w:sz w:val="32"/>
          <w:szCs w:val="32"/>
        </w:rPr>
      </w:pPr>
      <w:r>
        <w:rPr>
          <w:rFonts w:hint="eastAsia" w:ascii="仿宋" w:hAnsi="仿宋" w:eastAsia="仿宋" w:cs="仿宋"/>
          <w:sz w:val="32"/>
          <w:szCs w:val="32"/>
        </w:rPr>
        <w:t>(二)建立和管理各类招标采购评标专家库、供应商备选库，建立招标采购当事人参与招标采购交易活动的诚信档案。 </w:t>
      </w:r>
    </w:p>
    <w:p>
      <w:pPr>
        <w:pStyle w:val="14"/>
        <w:shd w:val="clear" w:color="auto" w:fill="auto"/>
        <w:spacing w:before="0" w:after="0" w:line="360" w:lineRule="auto"/>
        <w:ind w:firstLine="760" w:firstLineChars="200"/>
        <w:jc w:val="both"/>
        <w:rPr>
          <w:rFonts w:hint="eastAsia" w:ascii="仿宋" w:hAnsi="仿宋" w:eastAsia="仿宋" w:cs="仿宋"/>
          <w:sz w:val="32"/>
          <w:szCs w:val="32"/>
        </w:rPr>
      </w:pPr>
      <w:r>
        <w:rPr>
          <w:rFonts w:hint="eastAsia" w:ascii="仿宋" w:hAnsi="仿宋" w:eastAsia="仿宋" w:cs="仿宋"/>
          <w:sz w:val="32"/>
          <w:szCs w:val="32"/>
        </w:rPr>
        <w:t>(三)对招标采购文件及有关资料合法性、真实性、完整性实行备案审查，对招标采购交易结果履行情况实行监督检查。 </w:t>
      </w:r>
    </w:p>
    <w:p>
      <w:pPr>
        <w:pStyle w:val="14"/>
        <w:shd w:val="clear" w:color="auto" w:fill="auto"/>
        <w:spacing w:before="0" w:after="0" w:line="360" w:lineRule="auto"/>
        <w:ind w:firstLine="760" w:firstLineChars="200"/>
        <w:jc w:val="both"/>
        <w:rPr>
          <w:rFonts w:hint="eastAsia" w:ascii="仿宋" w:hAnsi="仿宋" w:eastAsia="仿宋" w:cs="仿宋"/>
          <w:sz w:val="32"/>
          <w:szCs w:val="32"/>
        </w:rPr>
      </w:pPr>
      <w:r>
        <w:rPr>
          <w:rFonts w:hint="eastAsia" w:ascii="仿宋" w:hAnsi="仿宋" w:eastAsia="仿宋" w:cs="仿宋"/>
          <w:sz w:val="32"/>
          <w:szCs w:val="32"/>
        </w:rPr>
        <w:t>(四)会同财政部门做好政府采购过程中相关工作的监管;依法监督管理全县各类招标采购活动和产权交易行为;会同国土资源等部门依法监督管理全县土地使用权出让交易行为;审核从事招标采购代理等业务的代理机构资格，并对其进行定期考核。 </w:t>
      </w:r>
    </w:p>
    <w:p>
      <w:pPr>
        <w:pStyle w:val="14"/>
        <w:shd w:val="clear" w:color="auto" w:fill="auto"/>
        <w:spacing w:before="0" w:after="0" w:line="360" w:lineRule="auto"/>
        <w:ind w:firstLine="760" w:firstLineChars="200"/>
        <w:jc w:val="both"/>
        <w:rPr>
          <w:rFonts w:hint="eastAsia" w:ascii="仿宋" w:hAnsi="仿宋" w:eastAsia="仿宋" w:cs="仿宋"/>
          <w:sz w:val="32"/>
          <w:szCs w:val="32"/>
        </w:rPr>
      </w:pPr>
      <w:r>
        <w:rPr>
          <w:rFonts w:hint="eastAsia" w:ascii="仿宋" w:hAnsi="仿宋" w:eastAsia="仿宋" w:cs="仿宋"/>
          <w:sz w:val="32"/>
          <w:szCs w:val="32"/>
        </w:rPr>
        <w:t>(五)监督检查各类招标采购和产权交易相关法律法规、制度的执行情况;会同国土资源等部门监督检查土地使用权出让相关法律法规、制度的执行情况;全程监督招标采购活动、产权交易活动和服务机构服务事项的合法性、合规性;监督检查所有招标采购和产权交易当事人在交易活动中的遵纪守法情况;会同国土资源等部门监督检查土地使用权出让活动中的遵纪守法情况。 </w:t>
      </w:r>
    </w:p>
    <w:p>
      <w:pPr>
        <w:pStyle w:val="14"/>
        <w:shd w:val="clear" w:color="auto" w:fill="auto"/>
        <w:spacing w:before="0" w:after="0" w:line="360" w:lineRule="auto"/>
        <w:ind w:firstLine="760" w:firstLineChars="200"/>
        <w:jc w:val="both"/>
        <w:rPr>
          <w:rFonts w:hint="eastAsia" w:ascii="仿宋" w:hAnsi="仿宋" w:eastAsia="仿宋" w:cs="仿宋"/>
          <w:sz w:val="32"/>
          <w:szCs w:val="32"/>
        </w:rPr>
      </w:pPr>
      <w:r>
        <w:rPr>
          <w:rFonts w:hint="eastAsia" w:ascii="仿宋" w:hAnsi="仿宋" w:eastAsia="仿宋" w:cs="仿宋"/>
          <w:sz w:val="32"/>
          <w:szCs w:val="32"/>
        </w:rPr>
        <w:t>(六)受理有关招标采购交易活动的举报投诉，按照有关规定调查处理招标采购交易活动过程中的违规行为;对招标采购当事人的投标保证金、履约保证金缴存情况实行监督管理;对招标采购市场进行综合监管和业务指导。 </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(七)承办县政府交办的其他事项。 </w:t>
      </w:r>
    </w:p>
    <w:p>
      <w:pPr>
        <w:pStyle w:val="12"/>
        <w:shd w:val="clear" w:color="auto" w:fill="auto"/>
        <w:tabs>
          <w:tab w:val="left" w:pos="1301"/>
        </w:tabs>
        <w:spacing w:after="0" w:line="360" w:lineRule="auto"/>
        <w:ind w:firstLine="763" w:firstLineChars="200"/>
        <w:jc w:val="both"/>
        <w:outlineLvl w:val="1"/>
        <w:rPr>
          <w:rFonts w:hint="eastAsia" w:ascii="仿宋" w:hAnsi="仿宋" w:eastAsia="仿宋" w:cs="仿宋"/>
          <w:sz w:val="32"/>
          <w:szCs w:val="32"/>
        </w:rPr>
      </w:pPr>
      <w:r>
        <w:rPr>
          <w:rFonts w:hint="eastAsia" w:ascii="仿宋" w:hAnsi="仿宋" w:eastAsia="仿宋" w:cs="仿宋"/>
          <w:sz w:val="32"/>
          <w:szCs w:val="32"/>
        </w:rPr>
        <w:t>二、</w:t>
      </w:r>
      <w:r>
        <w:rPr>
          <w:rFonts w:hint="eastAsia" w:ascii="仿宋" w:hAnsi="仿宋" w:eastAsia="仿宋" w:cs="仿宋"/>
          <w:sz w:val="32"/>
          <w:szCs w:val="32"/>
        </w:rPr>
        <w:tab/>
      </w:r>
      <w:r>
        <w:rPr>
          <w:rFonts w:hint="eastAsia" w:ascii="仿宋" w:hAnsi="仿宋" w:eastAsia="仿宋" w:cs="仿宋"/>
          <w:sz w:val="32"/>
          <w:szCs w:val="32"/>
        </w:rPr>
        <w:t>部门预算单位构成 </w:t>
      </w:r>
    </w:p>
    <w:p>
      <w:pPr>
        <w:pStyle w:val="14"/>
        <w:shd w:val="clear" w:color="auto" w:fill="auto"/>
        <w:spacing w:before="0" w:after="0" w:line="360" w:lineRule="auto"/>
        <w:ind w:firstLine="760" w:firstLineChars="200"/>
        <w:jc w:val="both"/>
        <w:rPr>
          <w:rFonts w:hint="eastAsia" w:ascii="仿宋" w:hAnsi="仿宋" w:eastAsia="仿宋" w:cs="仿宋"/>
          <w:sz w:val="32"/>
          <w:szCs w:val="32"/>
        </w:rPr>
      </w:pPr>
      <w:r>
        <w:rPr>
          <w:rFonts w:hint="eastAsia" w:ascii="仿宋" w:hAnsi="仿宋" w:eastAsia="仿宋" w:cs="仿宋"/>
          <w:sz w:val="32"/>
          <w:szCs w:val="32"/>
          <w:lang w:val="en-US" w:eastAsia="zh-CN"/>
        </w:rPr>
        <w:t>公共资源交易服务中心</w:t>
      </w:r>
      <w:r>
        <w:rPr>
          <w:rFonts w:hint="eastAsia" w:ascii="仿宋" w:hAnsi="仿宋" w:eastAsia="仿宋" w:cs="仿宋"/>
          <w:sz w:val="32"/>
          <w:szCs w:val="32"/>
          <w:lang w:val="en-US"/>
        </w:rPr>
        <w:t>无下属预算单位</w:t>
      </w:r>
      <w:r>
        <w:rPr>
          <w:rFonts w:hint="eastAsia" w:ascii="仿宋" w:hAnsi="仿宋" w:eastAsia="仿宋" w:cs="仿宋"/>
          <w:sz w:val="32"/>
          <w:szCs w:val="32"/>
          <w:lang w:val="en-US" w:eastAsia="zh-CN"/>
        </w:rPr>
        <w:t>，2020年</w:t>
      </w:r>
      <w:r>
        <w:rPr>
          <w:rFonts w:hint="eastAsia" w:ascii="仿宋" w:hAnsi="仿宋" w:eastAsia="仿宋" w:cs="仿宋"/>
          <w:sz w:val="32"/>
          <w:szCs w:val="32"/>
        </w:rPr>
        <w:t>纳入部门预算编制范围的单位共</w:t>
      </w:r>
      <w:r>
        <w:rPr>
          <w:rFonts w:hint="eastAsia" w:ascii="仿宋" w:hAnsi="仿宋" w:eastAsia="仿宋" w:cs="仿宋"/>
          <w:sz w:val="32"/>
          <w:szCs w:val="32"/>
          <w:lang w:val="en-US" w:eastAsia="zh-CN"/>
        </w:rPr>
        <w:t>1</w:t>
      </w:r>
      <w:r>
        <w:rPr>
          <w:rFonts w:hint="eastAsia" w:ascii="仿宋" w:hAnsi="仿宋" w:eastAsia="仿宋" w:cs="仿宋"/>
          <w:sz w:val="32"/>
          <w:szCs w:val="32"/>
        </w:rPr>
        <w:t>个，具体情况见下表。</w:t>
      </w:r>
    </w:p>
    <w:tbl>
      <w:tblPr>
        <w:tblStyle w:val="3"/>
        <w:tblpPr w:leftFromText="180" w:rightFromText="180" w:vertAnchor="text" w:horzAnchor="page" w:tblpX="1706" w:tblpY="248"/>
        <w:tblOverlap w:val="never"/>
        <w:tblW w:w="9259" w:type="dxa"/>
        <w:tblInd w:w="0" w:type="dxa"/>
        <w:tblLayout w:type="fixed"/>
        <w:tblCellMar>
          <w:top w:w="0" w:type="dxa"/>
          <w:left w:w="10" w:type="dxa"/>
          <w:bottom w:w="0" w:type="dxa"/>
          <w:right w:w="10" w:type="dxa"/>
        </w:tblCellMar>
      </w:tblPr>
      <w:tblGrid>
        <w:gridCol w:w="1157"/>
        <w:gridCol w:w="3600"/>
        <w:gridCol w:w="4502"/>
      </w:tblGrid>
      <w:tr>
        <w:tblPrEx>
          <w:tblCellMar>
            <w:top w:w="0" w:type="dxa"/>
            <w:left w:w="10" w:type="dxa"/>
            <w:bottom w:w="0" w:type="dxa"/>
            <w:right w:w="10" w:type="dxa"/>
          </w:tblCellMar>
        </w:tblPrEx>
        <w:trPr>
          <w:trHeight w:val="408" w:hRule="exact"/>
        </w:trPr>
        <w:tc>
          <w:tcPr>
            <w:tcW w:w="1157" w:type="dxa"/>
            <w:tcBorders>
              <w:top w:val="single" w:color="auto" w:sz="4" w:space="0"/>
              <w:left w:val="single" w:color="auto" w:sz="4" w:space="0"/>
            </w:tcBorders>
            <w:shd w:val="clear" w:color="auto" w:fill="FFFFFF"/>
            <w:vAlign w:val="center"/>
          </w:tcPr>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240" w:lineRule="exact"/>
              <w:ind w:firstLine="560" w:firstLineChars="200"/>
              <w:jc w:val="both"/>
              <w:textAlignment w:val="auto"/>
              <w:rPr>
                <w:rFonts w:ascii="仿宋" w:hAnsi="仿宋" w:eastAsia="仿宋" w:cs="仿宋"/>
                <w:sz w:val="24"/>
                <w:szCs w:val="24"/>
              </w:rPr>
            </w:pPr>
            <w:r>
              <w:rPr>
                <w:rStyle w:val="46"/>
                <w:rFonts w:hint="eastAsia" w:ascii="仿宋" w:hAnsi="仿宋" w:eastAsia="仿宋" w:cs="仿宋"/>
              </w:rPr>
              <w:t>序号</w:t>
            </w:r>
          </w:p>
        </w:tc>
        <w:tc>
          <w:tcPr>
            <w:tcW w:w="3600" w:type="dxa"/>
            <w:tcBorders>
              <w:top w:val="single" w:color="auto" w:sz="4" w:space="0"/>
              <w:left w:val="single" w:color="auto" w:sz="4" w:space="0"/>
            </w:tcBorders>
            <w:shd w:val="clear" w:color="auto" w:fill="FFFFFF"/>
            <w:vAlign w:val="center"/>
          </w:tcPr>
          <w:p>
            <w:pPr>
              <w:pStyle w:val="14"/>
              <w:shd w:val="clear" w:color="auto" w:fill="auto"/>
              <w:spacing w:before="0" w:after="0" w:line="360" w:lineRule="auto"/>
              <w:ind w:firstLine="560" w:firstLineChars="200"/>
              <w:jc w:val="center"/>
              <w:rPr>
                <w:rFonts w:ascii="仿宋" w:hAnsi="仿宋" w:eastAsia="仿宋" w:cs="仿宋"/>
                <w:sz w:val="24"/>
                <w:szCs w:val="24"/>
              </w:rPr>
            </w:pPr>
            <w:r>
              <w:rPr>
                <w:rStyle w:val="46"/>
                <w:rFonts w:hint="eastAsia" w:ascii="仿宋" w:hAnsi="仿宋" w:eastAsia="仿宋" w:cs="仿宋"/>
              </w:rPr>
              <w:t>单位名称</w:t>
            </w:r>
          </w:p>
        </w:tc>
        <w:tc>
          <w:tcPr>
            <w:tcW w:w="4502" w:type="dxa"/>
            <w:tcBorders>
              <w:top w:val="single" w:color="auto" w:sz="4" w:space="0"/>
              <w:left w:val="single" w:color="auto" w:sz="4" w:space="0"/>
              <w:right w:val="single" w:color="auto" w:sz="4" w:space="0"/>
            </w:tcBorders>
            <w:shd w:val="clear" w:color="auto" w:fill="FFFFFF"/>
            <w:vAlign w:val="center"/>
          </w:tcPr>
          <w:p>
            <w:pPr>
              <w:pStyle w:val="14"/>
              <w:shd w:val="clear" w:color="auto" w:fill="auto"/>
              <w:spacing w:before="0" w:after="0" w:line="360" w:lineRule="auto"/>
              <w:ind w:firstLine="560" w:firstLineChars="200"/>
              <w:jc w:val="center"/>
              <w:rPr>
                <w:rFonts w:ascii="仿宋" w:hAnsi="仿宋" w:eastAsia="仿宋" w:cs="仿宋"/>
                <w:sz w:val="24"/>
                <w:szCs w:val="24"/>
              </w:rPr>
            </w:pPr>
            <w:r>
              <w:rPr>
                <w:rStyle w:val="46"/>
                <w:rFonts w:hint="eastAsia" w:ascii="仿宋" w:hAnsi="仿宋" w:eastAsia="仿宋" w:cs="仿宋"/>
              </w:rPr>
              <w:t>单位性质</w:t>
            </w:r>
          </w:p>
        </w:tc>
      </w:tr>
      <w:tr>
        <w:tblPrEx>
          <w:tblCellMar>
            <w:top w:w="0" w:type="dxa"/>
            <w:left w:w="10" w:type="dxa"/>
            <w:bottom w:w="0" w:type="dxa"/>
            <w:right w:w="10" w:type="dxa"/>
          </w:tblCellMar>
        </w:tblPrEx>
        <w:trPr>
          <w:trHeight w:val="413" w:hRule="exact"/>
        </w:trPr>
        <w:tc>
          <w:tcPr>
            <w:tcW w:w="1157" w:type="dxa"/>
            <w:tcBorders>
              <w:top w:val="single" w:color="auto" w:sz="4" w:space="0"/>
              <w:left w:val="single" w:color="auto" w:sz="4" w:space="0"/>
              <w:bottom w:val="single" w:color="auto" w:sz="4" w:space="0"/>
            </w:tcBorders>
            <w:shd w:val="clear" w:color="auto" w:fill="FFFFFF"/>
            <w:vAlign w:val="center"/>
          </w:tcPr>
          <w:p>
            <w:pPr>
              <w:pStyle w:val="14"/>
              <w:shd w:val="clear" w:color="auto" w:fill="auto"/>
              <w:spacing w:before="0" w:after="0" w:line="360" w:lineRule="auto"/>
              <w:ind w:firstLine="560" w:firstLineChars="200"/>
              <w:jc w:val="center"/>
              <w:rPr>
                <w:rFonts w:ascii="仿宋" w:hAnsi="仿宋" w:eastAsia="仿宋" w:cs="仿宋"/>
                <w:sz w:val="24"/>
                <w:szCs w:val="24"/>
              </w:rPr>
            </w:pPr>
            <w:r>
              <w:rPr>
                <w:rStyle w:val="46"/>
                <w:rFonts w:hint="eastAsia" w:ascii="仿宋" w:hAnsi="仿宋" w:eastAsia="仿宋" w:cs="仿宋"/>
              </w:rPr>
              <w:t>1</w:t>
            </w:r>
          </w:p>
        </w:tc>
        <w:tc>
          <w:tcPr>
            <w:tcW w:w="3600" w:type="dxa"/>
            <w:tcBorders>
              <w:top w:val="single" w:color="auto" w:sz="4" w:space="0"/>
              <w:left w:val="single" w:color="auto" w:sz="4" w:space="0"/>
              <w:bottom w:val="single" w:color="auto" w:sz="4" w:space="0"/>
            </w:tcBorders>
            <w:shd w:val="clear" w:color="auto" w:fill="FFFFFF"/>
            <w:vAlign w:val="center"/>
          </w:tcPr>
          <w:p>
            <w:pPr>
              <w:pStyle w:val="14"/>
              <w:shd w:val="clear" w:color="auto" w:fill="auto"/>
              <w:spacing w:before="0" w:after="0" w:line="360" w:lineRule="auto"/>
              <w:ind w:firstLine="600" w:firstLineChars="200"/>
              <w:jc w:val="center"/>
              <w:rPr>
                <w:rFonts w:ascii="仿宋" w:hAnsi="仿宋" w:eastAsia="仿宋" w:cs="仿宋"/>
                <w:sz w:val="24"/>
                <w:szCs w:val="24"/>
              </w:rPr>
            </w:pPr>
            <w:r>
              <w:rPr>
                <w:rFonts w:hint="eastAsia" w:ascii="仿宋" w:hAnsi="仿宋" w:eastAsia="仿宋" w:cs="仿宋"/>
                <w:sz w:val="24"/>
                <w:szCs w:val="24"/>
              </w:rPr>
              <w:t>公共资源交易服务中心</w:t>
            </w:r>
          </w:p>
        </w:tc>
        <w:tc>
          <w:tcPr>
            <w:tcW w:w="450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14"/>
              <w:shd w:val="clear" w:color="auto" w:fill="auto"/>
              <w:spacing w:before="0" w:after="0" w:line="360" w:lineRule="auto"/>
              <w:ind w:firstLine="560" w:firstLineChars="200"/>
              <w:jc w:val="center"/>
              <w:rPr>
                <w:rFonts w:ascii="仿宋" w:hAnsi="仿宋" w:eastAsia="仿宋" w:cs="仿宋"/>
                <w:sz w:val="24"/>
                <w:szCs w:val="24"/>
              </w:rPr>
            </w:pPr>
            <w:r>
              <w:rPr>
                <w:rStyle w:val="46"/>
                <w:rFonts w:hint="eastAsia" w:ascii="仿宋" w:hAnsi="仿宋" w:eastAsia="仿宋" w:cs="仿宋"/>
                <w:lang w:val="en-US" w:eastAsia="zh-CN"/>
              </w:rPr>
              <w:t>公益一类</w:t>
            </w:r>
            <w:r>
              <w:rPr>
                <w:rStyle w:val="46"/>
                <w:rFonts w:hint="eastAsia" w:ascii="仿宋" w:hAnsi="仿宋" w:eastAsia="仿宋" w:cs="仿宋"/>
                <w:lang w:val="en-US"/>
              </w:rPr>
              <w:t>事业</w:t>
            </w:r>
            <w:r>
              <w:rPr>
                <w:rStyle w:val="46"/>
                <w:rFonts w:hint="eastAsia" w:ascii="仿宋" w:hAnsi="仿宋" w:eastAsia="仿宋" w:cs="仿宋"/>
              </w:rPr>
              <w:t>单位</w:t>
            </w:r>
          </w:p>
        </w:tc>
      </w:tr>
    </w:tbl>
    <w:p>
      <w:pPr>
        <w:pStyle w:val="14"/>
        <w:shd w:val="clear" w:color="auto" w:fill="auto"/>
        <w:spacing w:before="0" w:after="0" w:line="360" w:lineRule="auto"/>
        <w:ind w:firstLine="760" w:firstLineChars="200"/>
        <w:jc w:val="both"/>
        <w:rPr>
          <w:rFonts w:hint="eastAsia" w:ascii="仿宋" w:hAnsi="仿宋" w:eastAsia="仿宋" w:cs="仿宋"/>
          <w:sz w:val="32"/>
          <w:szCs w:val="32"/>
        </w:rPr>
      </w:pPr>
    </w:p>
    <w:p>
      <w:pPr>
        <w:pStyle w:val="14"/>
        <w:shd w:val="clear" w:color="auto" w:fill="auto"/>
        <w:spacing w:before="0" w:after="0" w:line="360" w:lineRule="auto"/>
        <w:ind w:firstLine="760" w:firstLineChars="200"/>
        <w:jc w:val="both"/>
        <w:outlineLvl w:val="1"/>
        <w:rPr>
          <w:rFonts w:hint="eastAsia" w:ascii="仿宋" w:hAnsi="仿宋" w:eastAsia="仿宋" w:cs="仿宋"/>
          <w:sz w:val="32"/>
          <w:szCs w:val="32"/>
        </w:rPr>
      </w:pPr>
      <w:r>
        <w:rPr>
          <w:rFonts w:hint="eastAsia" w:ascii="仿宋" w:hAnsi="仿宋" w:eastAsia="仿宋" w:cs="仿宋"/>
          <w:sz w:val="32"/>
          <w:szCs w:val="32"/>
        </w:rPr>
        <w:t>三、20</w:t>
      </w:r>
      <w:r>
        <w:rPr>
          <w:rFonts w:hint="eastAsia" w:ascii="仿宋" w:hAnsi="仿宋" w:eastAsia="仿宋" w:cs="仿宋"/>
          <w:sz w:val="32"/>
          <w:szCs w:val="32"/>
          <w:lang w:val="en-US" w:eastAsia="zh-CN"/>
        </w:rPr>
        <w:t>20</w:t>
      </w:r>
      <w:r>
        <w:rPr>
          <w:rFonts w:hint="eastAsia" w:ascii="仿宋" w:hAnsi="仿宋" w:eastAsia="仿宋" w:cs="仿宋"/>
          <w:sz w:val="32"/>
          <w:szCs w:val="32"/>
        </w:rPr>
        <w:t>年度主要工作任务</w:t>
      </w:r>
    </w:p>
    <w:p>
      <w:pPr>
        <w:pStyle w:val="14"/>
        <w:shd w:val="clear" w:color="auto" w:fill="auto"/>
        <w:spacing w:before="0" w:after="0" w:line="360" w:lineRule="auto"/>
        <w:ind w:firstLine="760" w:firstLineChars="200"/>
        <w:jc w:val="both"/>
        <w:rPr>
          <w:rFonts w:ascii="仿宋" w:hAnsi="仿宋" w:eastAsia="仿宋" w:cs="仿宋"/>
          <w:sz w:val="32"/>
          <w:szCs w:val="32"/>
        </w:rPr>
        <w:sectPr>
          <w:type w:val="continuous"/>
          <w:pgSz w:w="11900" w:h="16840"/>
          <w:pgMar w:top="1920" w:right="1182" w:bottom="1775" w:left="1296" w:header="0" w:footer="3" w:gutter="0"/>
          <w:cols w:space="720" w:num="1"/>
          <w:docGrid w:linePitch="360" w:charSpace="0"/>
        </w:sectPr>
      </w:pPr>
      <w:r>
        <w:rPr>
          <w:rFonts w:hint="eastAsia" w:ascii="仿宋" w:hAnsi="仿宋" w:eastAsia="仿宋" w:cs="仿宋"/>
          <w:sz w:val="32"/>
          <w:szCs w:val="32"/>
        </w:rPr>
        <w:t>坚持以习近平新时代中国特色社会主义思想为指导，深入学习贯彻党的十九大</w:t>
      </w:r>
      <w:r>
        <w:rPr>
          <w:rFonts w:hint="eastAsia" w:ascii="仿宋" w:hAnsi="仿宋" w:eastAsia="仿宋" w:cs="仿宋"/>
          <w:sz w:val="32"/>
          <w:szCs w:val="32"/>
          <w:lang w:eastAsia="zh-CN"/>
        </w:rPr>
        <w:t>和十九届二中、三中、四中全会</w:t>
      </w:r>
      <w:r>
        <w:rPr>
          <w:rFonts w:hint="eastAsia" w:ascii="仿宋" w:hAnsi="仿宋" w:eastAsia="仿宋" w:cs="仿宋"/>
          <w:sz w:val="32"/>
          <w:szCs w:val="32"/>
        </w:rPr>
        <w:t>精神</w:t>
      </w:r>
      <w:r>
        <w:rPr>
          <w:rFonts w:hint="eastAsia" w:ascii="仿宋" w:hAnsi="仿宋" w:eastAsia="仿宋" w:cs="仿宋"/>
          <w:sz w:val="32"/>
          <w:szCs w:val="32"/>
          <w:lang w:val="en-US" w:eastAsia="zh-CN"/>
        </w:rPr>
        <w:t>，</w:t>
      </w:r>
      <w:r>
        <w:rPr>
          <w:rFonts w:hint="eastAsia" w:ascii="仿宋" w:hAnsi="仿宋" w:eastAsia="仿宋" w:cs="仿宋"/>
          <w:sz w:val="32"/>
          <w:szCs w:val="32"/>
          <w:lang w:val="en-US"/>
        </w:rPr>
        <w:t>围绕中心，服务大局；内强素质，外树形象；强化措施，创新方式，不断开创公共资源交易工作新局面。</w:t>
      </w:r>
    </w:p>
    <w:p>
      <w:pPr>
        <w:pStyle w:val="18"/>
        <w:shd w:val="clear" w:color="auto" w:fill="auto"/>
        <w:spacing w:after="0" w:line="360" w:lineRule="auto"/>
        <w:ind w:firstLine="763" w:firstLineChars="200"/>
        <w:outlineLvl w:val="0"/>
        <w:rPr>
          <w:rFonts w:ascii="仿宋" w:hAnsi="仿宋" w:eastAsia="仿宋" w:cs="仿宋"/>
          <w:b/>
          <w:bCs/>
        </w:rPr>
      </w:pPr>
      <w:r>
        <w:rPr>
          <w:rFonts w:hint="eastAsia" w:ascii="仿宋" w:hAnsi="仿宋" w:eastAsia="仿宋" w:cs="仿宋"/>
          <w:b/>
          <w:bCs/>
        </w:rPr>
        <w:t>第二部分</w:t>
      </w:r>
      <w:r>
        <w:rPr>
          <w:rFonts w:hint="eastAsia" w:ascii="仿宋" w:hAnsi="仿宋" w:eastAsia="仿宋" w:cs="仿宋"/>
          <w:b/>
          <w:bCs/>
          <w:lang w:val="en-US"/>
        </w:rPr>
        <w:t xml:space="preserve"> </w:t>
      </w:r>
      <w:r>
        <w:rPr>
          <w:rStyle w:val="20"/>
          <w:rFonts w:hint="eastAsia" w:ascii="仿宋" w:hAnsi="仿宋" w:eastAsia="仿宋" w:cs="仿宋"/>
          <w:b/>
          <w:bCs/>
          <w:sz w:val="32"/>
          <w:szCs w:val="32"/>
        </w:rPr>
        <w:t>20</w:t>
      </w:r>
      <w:r>
        <w:rPr>
          <w:rStyle w:val="20"/>
          <w:rFonts w:hint="eastAsia" w:ascii="仿宋" w:hAnsi="仿宋" w:eastAsia="仿宋" w:cs="仿宋"/>
          <w:b/>
          <w:bCs/>
          <w:sz w:val="32"/>
          <w:szCs w:val="32"/>
          <w:lang w:val="en-US"/>
        </w:rPr>
        <w:t>20</w:t>
      </w:r>
      <w:r>
        <w:rPr>
          <w:rStyle w:val="20"/>
          <w:rFonts w:hint="eastAsia" w:ascii="仿宋" w:hAnsi="仿宋" w:eastAsia="仿宋" w:cs="仿宋"/>
          <w:b/>
          <w:bCs/>
          <w:sz w:val="32"/>
          <w:szCs w:val="32"/>
        </w:rPr>
        <w:t>年</w:t>
      </w:r>
      <w:r>
        <w:rPr>
          <w:rFonts w:hint="eastAsia" w:ascii="仿宋" w:hAnsi="仿宋" w:eastAsia="仿宋" w:cs="仿宋"/>
          <w:b/>
          <w:bCs/>
        </w:rPr>
        <w:t>部门预算情况说明</w:t>
      </w:r>
    </w:p>
    <w:p>
      <w:pPr>
        <w:pStyle w:val="12"/>
        <w:shd w:val="clear" w:color="auto" w:fill="auto"/>
        <w:tabs>
          <w:tab w:val="left" w:pos="1473"/>
        </w:tabs>
        <w:spacing w:after="0" w:line="360" w:lineRule="auto"/>
        <w:ind w:firstLine="763" w:firstLineChars="200"/>
        <w:jc w:val="both"/>
        <w:outlineLvl w:val="1"/>
        <w:rPr>
          <w:rFonts w:ascii="仿宋" w:hAnsi="仿宋" w:eastAsia="仿宋" w:cs="仿宋"/>
          <w:sz w:val="32"/>
          <w:szCs w:val="32"/>
        </w:rPr>
      </w:pPr>
      <w:r>
        <w:rPr>
          <w:rStyle w:val="42"/>
          <w:rFonts w:hint="eastAsia" w:ascii="仿宋" w:hAnsi="仿宋" w:eastAsia="仿宋" w:cs="仿宋"/>
          <w:b/>
          <w:bCs/>
          <w:sz w:val="32"/>
          <w:szCs w:val="32"/>
        </w:rPr>
        <w:t>一、</w:t>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年财政拨款收支预算总体情况说明</w:t>
      </w:r>
    </w:p>
    <w:p>
      <w:pPr>
        <w:pStyle w:val="14"/>
        <w:shd w:val="clear" w:color="auto" w:fill="auto"/>
        <w:spacing w:before="0" w:after="0" w:line="360" w:lineRule="auto"/>
        <w:ind w:firstLine="76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rPr>
        <w:t>公共资源交易服务中心20</w:t>
      </w:r>
      <w:r>
        <w:rPr>
          <w:rFonts w:hint="eastAsia" w:ascii="仿宋" w:hAnsi="仿宋" w:eastAsia="仿宋" w:cs="仿宋"/>
          <w:sz w:val="32"/>
          <w:szCs w:val="32"/>
          <w:lang w:val="en-US" w:eastAsia="zh-CN"/>
        </w:rPr>
        <w:t>20</w:t>
      </w:r>
      <w:r>
        <w:rPr>
          <w:rFonts w:hint="eastAsia" w:ascii="仿宋" w:hAnsi="仿宋" w:eastAsia="仿宋" w:cs="仿宋"/>
          <w:sz w:val="32"/>
          <w:szCs w:val="32"/>
        </w:rPr>
        <w:t>年财政拨款收支预算</w:t>
      </w:r>
      <w:r>
        <w:rPr>
          <w:rFonts w:hint="eastAsia" w:ascii="仿宋" w:hAnsi="仿宋" w:eastAsia="仿宋" w:cs="仿宋"/>
          <w:sz w:val="32"/>
          <w:szCs w:val="32"/>
          <w:lang w:val="en-US" w:eastAsia="zh-CN"/>
        </w:rPr>
        <w:t>41.09万</w:t>
      </w:r>
      <w:r>
        <w:rPr>
          <w:rFonts w:hint="eastAsia" w:ascii="仿宋" w:hAnsi="仿宋" w:eastAsia="仿宋" w:cs="仿宋"/>
          <w:sz w:val="32"/>
          <w:szCs w:val="32"/>
        </w:rPr>
        <w:t>元。收入按资金来源分为：一般公共预算拨款</w:t>
      </w:r>
      <w:r>
        <w:rPr>
          <w:rFonts w:hint="eastAsia" w:ascii="仿宋" w:hAnsi="仿宋" w:eastAsia="仿宋" w:cs="仿宋"/>
          <w:sz w:val="32"/>
          <w:szCs w:val="32"/>
          <w:lang w:val="en-US" w:eastAsia="zh-CN"/>
        </w:rPr>
        <w:t>41.09万</w:t>
      </w:r>
      <w:r>
        <w:rPr>
          <w:rFonts w:hint="eastAsia" w:ascii="仿宋" w:hAnsi="仿宋" w:eastAsia="仿宋" w:cs="仿宋"/>
          <w:sz w:val="32"/>
          <w:szCs w:val="32"/>
        </w:rPr>
        <w:t>元；按资金年度分为：当年财政拨款收入</w:t>
      </w:r>
      <w:r>
        <w:rPr>
          <w:rFonts w:hint="eastAsia" w:ascii="仿宋" w:hAnsi="仿宋" w:eastAsia="仿宋" w:cs="仿宋"/>
          <w:sz w:val="32"/>
          <w:szCs w:val="32"/>
          <w:lang w:val="en-US" w:eastAsia="zh-CN"/>
        </w:rPr>
        <w:t>41.09万</w:t>
      </w:r>
      <w:r>
        <w:rPr>
          <w:rFonts w:hint="eastAsia" w:ascii="仿宋" w:hAnsi="仿宋" w:eastAsia="仿宋" w:cs="仿宋"/>
          <w:sz w:val="32"/>
          <w:szCs w:val="32"/>
        </w:rPr>
        <w:t>元。支出按功能分类分为：</w:t>
      </w:r>
      <w:r>
        <w:rPr>
          <w:rFonts w:hint="eastAsia" w:ascii="仿宋" w:hAnsi="仿宋" w:eastAsia="仿宋" w:cs="仿宋"/>
          <w:sz w:val="32"/>
          <w:szCs w:val="32"/>
          <w:lang w:eastAsia="zh-CN"/>
        </w:rPr>
        <w:t>一般公共服务支出</w:t>
      </w:r>
      <w:r>
        <w:rPr>
          <w:rFonts w:hint="eastAsia" w:ascii="仿宋" w:hAnsi="仿宋" w:eastAsia="仿宋" w:cs="仿宋"/>
          <w:sz w:val="32"/>
          <w:szCs w:val="32"/>
          <w:lang w:val="en-US" w:eastAsia="zh-CN"/>
        </w:rPr>
        <w:t>35.88万</w:t>
      </w:r>
      <w:r>
        <w:rPr>
          <w:rFonts w:hint="eastAsia" w:ascii="仿宋" w:hAnsi="仿宋" w:eastAsia="仿宋" w:cs="仿宋"/>
          <w:sz w:val="32"/>
          <w:szCs w:val="32"/>
        </w:rPr>
        <w:t>元，占</w:t>
      </w:r>
      <w:r>
        <w:rPr>
          <w:rFonts w:hint="eastAsia" w:ascii="仿宋" w:hAnsi="仿宋" w:eastAsia="仿宋" w:cs="仿宋"/>
          <w:sz w:val="32"/>
          <w:szCs w:val="32"/>
          <w:lang w:val="en-US" w:eastAsia="zh-CN"/>
        </w:rPr>
        <w:t>87.32</w:t>
      </w:r>
      <w:r>
        <w:rPr>
          <w:rFonts w:hint="eastAsia" w:ascii="仿宋" w:hAnsi="仿宋" w:eastAsia="仿宋" w:cs="仿宋"/>
          <w:sz w:val="32"/>
          <w:szCs w:val="32"/>
        </w:rPr>
        <w:t>%;</w:t>
      </w:r>
      <w:r>
        <w:rPr>
          <w:rFonts w:hint="eastAsia" w:ascii="仿宋" w:hAnsi="仿宋" w:eastAsia="仿宋" w:cs="仿宋"/>
          <w:sz w:val="32"/>
          <w:szCs w:val="32"/>
          <w:lang w:eastAsia="zh-CN"/>
        </w:rPr>
        <w:t>社会保障和就业支出</w:t>
      </w:r>
      <w:r>
        <w:rPr>
          <w:rFonts w:hint="eastAsia" w:ascii="仿宋" w:hAnsi="仿宋" w:eastAsia="仿宋" w:cs="仿宋"/>
          <w:sz w:val="32"/>
          <w:szCs w:val="32"/>
          <w:lang w:val="en-US" w:eastAsia="zh-CN"/>
        </w:rPr>
        <w:t>3.65</w:t>
      </w:r>
      <w:r>
        <w:rPr>
          <w:rFonts w:hint="eastAsia" w:ascii="仿宋" w:hAnsi="仿宋" w:eastAsia="仿宋" w:cs="仿宋"/>
          <w:sz w:val="32"/>
          <w:szCs w:val="32"/>
        </w:rPr>
        <w:t>万元，占</w:t>
      </w:r>
      <w:r>
        <w:rPr>
          <w:rFonts w:hint="eastAsia" w:ascii="仿宋" w:hAnsi="仿宋" w:eastAsia="仿宋" w:cs="仿宋"/>
          <w:sz w:val="32"/>
          <w:szCs w:val="32"/>
          <w:lang w:val="en-US" w:eastAsia="zh-CN"/>
        </w:rPr>
        <w:t>8.88</w:t>
      </w:r>
      <w:r>
        <w:rPr>
          <w:rFonts w:hint="eastAsia" w:ascii="仿宋" w:hAnsi="仿宋" w:eastAsia="仿宋" w:cs="仿宋"/>
          <w:sz w:val="32"/>
          <w:szCs w:val="32"/>
        </w:rPr>
        <w:t>%;</w:t>
      </w:r>
      <w:r>
        <w:rPr>
          <w:rFonts w:hint="eastAsia" w:ascii="仿宋" w:hAnsi="仿宋" w:eastAsia="仿宋" w:cs="仿宋"/>
          <w:sz w:val="32"/>
          <w:szCs w:val="32"/>
          <w:lang w:eastAsia="zh-CN"/>
        </w:rPr>
        <w:t>医疗卫生与计划生育支出</w:t>
      </w:r>
      <w:r>
        <w:rPr>
          <w:rFonts w:hint="eastAsia" w:ascii="仿宋" w:hAnsi="仿宋" w:eastAsia="仿宋" w:cs="仿宋"/>
          <w:sz w:val="32"/>
          <w:szCs w:val="32"/>
          <w:lang w:val="en-US" w:eastAsia="zh-CN"/>
        </w:rPr>
        <w:t>1.56</w:t>
      </w:r>
      <w:r>
        <w:rPr>
          <w:rFonts w:hint="eastAsia" w:ascii="仿宋" w:hAnsi="仿宋" w:eastAsia="仿宋" w:cs="仿宋"/>
          <w:sz w:val="32"/>
          <w:szCs w:val="32"/>
        </w:rPr>
        <w:t>万元，占</w:t>
      </w:r>
      <w:r>
        <w:rPr>
          <w:rFonts w:hint="eastAsia" w:ascii="仿宋" w:hAnsi="仿宋" w:eastAsia="仿宋" w:cs="仿宋"/>
          <w:sz w:val="32"/>
          <w:szCs w:val="32"/>
          <w:lang w:val="en-US" w:eastAsia="zh-CN"/>
        </w:rPr>
        <w:t>3.80</w:t>
      </w:r>
      <w:r>
        <w:rPr>
          <w:rFonts w:hint="eastAsia" w:ascii="仿宋" w:hAnsi="仿宋" w:eastAsia="仿宋" w:cs="仿宋"/>
          <w:sz w:val="32"/>
          <w:szCs w:val="32"/>
        </w:rPr>
        <w:t>%</w:t>
      </w:r>
      <w:r>
        <w:rPr>
          <w:rFonts w:hint="eastAsia" w:ascii="仿宋" w:hAnsi="仿宋" w:eastAsia="仿宋" w:cs="仿宋"/>
          <w:sz w:val="32"/>
          <w:szCs w:val="32"/>
          <w:lang w:eastAsia="zh-CN"/>
        </w:rPr>
        <w:t>。</w:t>
      </w:r>
    </w:p>
    <w:p>
      <w:pPr>
        <w:pStyle w:val="12"/>
        <w:shd w:val="clear" w:color="auto" w:fill="auto"/>
        <w:tabs>
          <w:tab w:val="left" w:pos="1473"/>
        </w:tabs>
        <w:spacing w:after="0" w:line="360" w:lineRule="auto"/>
        <w:ind w:firstLine="643" w:firstLineChars="200"/>
        <w:jc w:val="both"/>
        <w:outlineLvl w:val="1"/>
        <w:rPr>
          <w:rFonts w:ascii="仿宋" w:hAnsi="仿宋" w:eastAsia="仿宋" w:cs="仿宋"/>
          <w:sz w:val="32"/>
          <w:szCs w:val="32"/>
        </w:rPr>
      </w:pPr>
      <w:r>
        <w:rPr>
          <w:rStyle w:val="43"/>
          <w:rFonts w:hint="eastAsia" w:ascii="仿宋" w:hAnsi="仿宋" w:eastAsia="仿宋" w:cs="仿宋"/>
          <w:b/>
          <w:bCs/>
          <w:sz w:val="32"/>
          <w:szCs w:val="32"/>
        </w:rPr>
        <w:t>二、</w:t>
      </w:r>
      <w:r>
        <w:rPr>
          <w:rFonts w:hint="eastAsia" w:ascii="仿宋" w:hAnsi="仿宋" w:eastAsia="仿宋" w:cs="仿宋"/>
          <w:b/>
          <w:bCs/>
          <w:sz w:val="32"/>
          <w:szCs w:val="32"/>
        </w:rPr>
        <w:t>关</w:t>
      </w:r>
      <w:r>
        <w:rPr>
          <w:rFonts w:hint="eastAsia" w:ascii="仿宋" w:hAnsi="仿宋" w:eastAsia="仿宋" w:cs="仿宋"/>
          <w:sz w:val="32"/>
          <w:szCs w:val="32"/>
        </w:rPr>
        <w:t>于20</w:t>
      </w:r>
      <w:r>
        <w:rPr>
          <w:rFonts w:hint="eastAsia" w:ascii="仿宋" w:hAnsi="仿宋" w:eastAsia="仿宋" w:cs="仿宋"/>
          <w:sz w:val="32"/>
          <w:szCs w:val="32"/>
          <w:lang w:val="en-US" w:eastAsia="zh-CN"/>
        </w:rPr>
        <w:t>20</w:t>
      </w:r>
      <w:r>
        <w:rPr>
          <w:rFonts w:hint="eastAsia" w:ascii="仿宋" w:hAnsi="仿宋" w:eastAsia="仿宋" w:cs="仿宋"/>
          <w:sz w:val="32"/>
          <w:szCs w:val="32"/>
        </w:rPr>
        <w:t>年一般公共预算拨款情况说明</w:t>
      </w:r>
    </w:p>
    <w:p>
      <w:pPr>
        <w:pStyle w:val="45"/>
        <w:shd w:val="clear" w:color="auto" w:fill="auto"/>
        <w:tabs>
          <w:tab w:val="left" w:pos="1573"/>
        </w:tabs>
        <w:spacing w:line="360" w:lineRule="auto"/>
        <w:ind w:firstLine="640" w:firstLineChars="200"/>
        <w:jc w:val="both"/>
        <w:outlineLvl w:val="2"/>
        <w:rPr>
          <w:rFonts w:ascii="仿宋" w:hAnsi="仿宋" w:eastAsia="仿宋" w:cs="仿宋"/>
          <w:sz w:val="32"/>
          <w:szCs w:val="32"/>
        </w:rPr>
      </w:pPr>
      <w:r>
        <w:rPr>
          <w:rFonts w:hint="eastAsia" w:ascii="仿宋" w:hAnsi="仿宋" w:eastAsia="仿宋" w:cs="仿宋"/>
          <w:sz w:val="32"/>
          <w:szCs w:val="32"/>
        </w:rPr>
        <w:t>（一）一般公共预算拨款规模变化情况。</w:t>
      </w:r>
    </w:p>
    <w:p>
      <w:pPr>
        <w:pStyle w:val="45"/>
        <w:keepNext w:val="0"/>
        <w:keepLines w:val="0"/>
        <w:pageBreakBefore w:val="0"/>
        <w:widowControl w:val="0"/>
        <w:shd w:val="clear" w:color="auto" w:fill="auto"/>
        <w:tabs>
          <w:tab w:val="left" w:pos="1578"/>
        </w:tabs>
        <w:kinsoku/>
        <w:wordWrap/>
        <w:overflowPunct/>
        <w:topLinePunct w:val="0"/>
        <w:autoSpaceDE/>
        <w:autoSpaceDN/>
        <w:bidi w:val="0"/>
        <w:adjustRightInd/>
        <w:snapToGrid/>
        <w:spacing w:line="360" w:lineRule="auto"/>
        <w:jc w:val="both"/>
        <w:textAlignment w:val="auto"/>
        <w:rPr>
          <w:rFonts w:hint="eastAsia" w:ascii="仿宋" w:hAnsi="仿宋" w:eastAsia="仿宋" w:cs="仿宋"/>
          <w:sz w:val="32"/>
          <w:szCs w:val="32"/>
          <w:lang w:val="en-US" w:eastAsia="zh-CN"/>
        </w:rPr>
      </w:pPr>
      <w:r>
        <w:rPr>
          <w:rFonts w:hint="eastAsia" w:ascii="仿宋" w:hAnsi="仿宋" w:eastAsia="仿宋" w:cs="仿宋"/>
          <w:sz w:val="32"/>
          <w:szCs w:val="32"/>
        </w:rPr>
        <w:t>公共资源交易服务中心20</w:t>
      </w:r>
      <w:r>
        <w:rPr>
          <w:rFonts w:hint="eastAsia" w:ascii="仿宋" w:hAnsi="仿宋" w:eastAsia="仿宋" w:cs="仿宋"/>
          <w:sz w:val="32"/>
          <w:szCs w:val="32"/>
          <w:lang w:val="en-US" w:eastAsia="zh-CN"/>
        </w:rPr>
        <w:t>20</w:t>
      </w:r>
      <w:r>
        <w:rPr>
          <w:rFonts w:hint="eastAsia" w:ascii="仿宋" w:hAnsi="仿宋" w:eastAsia="仿宋" w:cs="仿宋"/>
          <w:sz w:val="32"/>
          <w:szCs w:val="32"/>
        </w:rPr>
        <w:t>年一般公共预算拨款</w:t>
      </w:r>
      <w:r>
        <w:rPr>
          <w:rFonts w:hint="eastAsia" w:ascii="仿宋" w:hAnsi="仿宋" w:eastAsia="仿宋" w:cs="仿宋"/>
          <w:sz w:val="32"/>
          <w:szCs w:val="32"/>
          <w:lang w:val="en-US" w:eastAsia="zh-CN"/>
        </w:rPr>
        <w:t>41.09</w:t>
      </w:r>
      <w:r>
        <w:rPr>
          <w:rFonts w:hint="eastAsia" w:ascii="仿宋" w:hAnsi="仿宋" w:eastAsia="仿宋" w:cs="仿宋"/>
          <w:sz w:val="32"/>
          <w:szCs w:val="32"/>
        </w:rPr>
        <w:t>万元，比201</w:t>
      </w:r>
      <w:r>
        <w:rPr>
          <w:rFonts w:hint="eastAsia" w:ascii="仿宋" w:hAnsi="仿宋" w:eastAsia="仿宋" w:cs="仿宋"/>
          <w:sz w:val="32"/>
          <w:szCs w:val="32"/>
          <w:lang w:val="en-US" w:eastAsia="zh-CN"/>
        </w:rPr>
        <w:t>9</w:t>
      </w:r>
      <w:r>
        <w:rPr>
          <w:rFonts w:hint="eastAsia" w:ascii="仿宋" w:hAnsi="仿宋" w:eastAsia="仿宋" w:cs="仿宋"/>
          <w:sz w:val="32"/>
          <w:szCs w:val="32"/>
        </w:rPr>
        <w:t>年预算拨款减少</w:t>
      </w:r>
      <w:r>
        <w:rPr>
          <w:rFonts w:hint="eastAsia" w:ascii="仿宋" w:hAnsi="仿宋" w:eastAsia="仿宋" w:cs="仿宋"/>
          <w:sz w:val="32"/>
          <w:szCs w:val="32"/>
          <w:lang w:val="en-US" w:eastAsia="zh-CN"/>
        </w:rPr>
        <w:t>11.81</w:t>
      </w:r>
      <w:r>
        <w:rPr>
          <w:rFonts w:hint="eastAsia" w:ascii="仿宋" w:hAnsi="仿宋" w:eastAsia="仿宋" w:cs="仿宋"/>
          <w:sz w:val="32"/>
          <w:szCs w:val="32"/>
        </w:rPr>
        <w:t>万元，</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22.33</w:t>
      </w:r>
      <w:r>
        <w:rPr>
          <w:rFonts w:hint="eastAsia" w:ascii="仿宋" w:hAnsi="仿宋" w:eastAsia="仿宋" w:cs="仿宋"/>
          <w:sz w:val="32"/>
          <w:szCs w:val="32"/>
        </w:rPr>
        <w:t>%,</w:t>
      </w:r>
      <w:r>
        <w:rPr>
          <w:rFonts w:hint="eastAsia" w:ascii="仿宋" w:hAnsi="仿宋" w:eastAsia="仿宋" w:cs="仿宋"/>
          <w:sz w:val="32"/>
          <w:szCs w:val="32"/>
          <w:lang w:eastAsia="zh-CN"/>
        </w:rPr>
        <w:t>减少</w:t>
      </w:r>
      <w:r>
        <w:rPr>
          <w:rFonts w:hint="eastAsia" w:ascii="仿宋" w:hAnsi="仿宋" w:eastAsia="仿宋" w:cs="仿宋"/>
          <w:sz w:val="32"/>
          <w:szCs w:val="32"/>
        </w:rPr>
        <w:t>原因主要</w:t>
      </w:r>
      <w:r>
        <w:rPr>
          <w:rFonts w:hint="eastAsia" w:ascii="仿宋" w:hAnsi="仿宋" w:eastAsia="仿宋" w:cs="仿宋"/>
          <w:color w:val="000000" w:themeColor="text1"/>
          <w:sz w:val="32"/>
          <w:szCs w:val="32"/>
          <w:lang w:eastAsia="zh-CN"/>
        </w:rPr>
        <w:t>在职人员减少，对应经费相应减少。</w:t>
      </w:r>
    </w:p>
    <w:p>
      <w:pPr>
        <w:pStyle w:val="45"/>
        <w:shd w:val="clear" w:color="auto" w:fill="auto"/>
        <w:tabs>
          <w:tab w:val="left" w:pos="1578"/>
        </w:tabs>
        <w:spacing w:line="360" w:lineRule="auto"/>
        <w:ind w:firstLine="640" w:firstLineChars="200"/>
        <w:jc w:val="both"/>
        <w:outlineLvl w:val="2"/>
        <w:rPr>
          <w:rFonts w:ascii="仿宋" w:hAnsi="仿宋" w:eastAsia="仿宋" w:cs="仿宋"/>
          <w:sz w:val="32"/>
          <w:szCs w:val="32"/>
        </w:rPr>
      </w:pPr>
      <w:r>
        <w:rPr>
          <w:rFonts w:hint="eastAsia" w:ascii="仿宋" w:hAnsi="仿宋" w:eastAsia="仿宋" w:cs="仿宋"/>
          <w:sz w:val="32"/>
          <w:szCs w:val="32"/>
        </w:rPr>
        <w:t>（二）一般公共预算拨款结构情况。</w:t>
      </w:r>
    </w:p>
    <w:p>
      <w:pPr>
        <w:pStyle w:val="45"/>
        <w:shd w:val="clear" w:color="auto" w:fill="auto"/>
        <w:tabs>
          <w:tab w:val="left" w:pos="1578"/>
        </w:tabs>
        <w:spacing w:line="360" w:lineRule="auto"/>
        <w:ind w:firstLine="640" w:firstLineChars="200"/>
        <w:jc w:val="both"/>
        <w:rPr>
          <w:rFonts w:hint="eastAsia" w:ascii="仿宋" w:hAnsi="仿宋" w:eastAsia="仿宋" w:cs="仿宋"/>
          <w:sz w:val="32"/>
          <w:szCs w:val="32"/>
          <w:lang w:val="en-US" w:eastAsia="zh-CN"/>
        </w:rPr>
      </w:pPr>
      <w:r>
        <w:rPr>
          <w:rFonts w:hint="eastAsia" w:ascii="仿宋" w:hAnsi="仿宋" w:eastAsia="仿宋" w:cs="仿宋"/>
          <w:sz w:val="32"/>
          <w:szCs w:val="32"/>
          <w:lang w:eastAsia="zh-CN"/>
        </w:rPr>
        <w:t>一般公共服务支出</w:t>
      </w:r>
      <w:r>
        <w:rPr>
          <w:rFonts w:hint="eastAsia" w:ascii="仿宋" w:hAnsi="仿宋" w:eastAsia="仿宋" w:cs="仿宋"/>
          <w:sz w:val="32"/>
          <w:szCs w:val="32"/>
          <w:lang w:val="en-US" w:eastAsia="zh-CN"/>
        </w:rPr>
        <w:t>35.88万</w:t>
      </w:r>
      <w:r>
        <w:rPr>
          <w:rFonts w:hint="eastAsia" w:ascii="仿宋" w:hAnsi="仿宋" w:eastAsia="仿宋" w:cs="仿宋"/>
          <w:sz w:val="32"/>
          <w:szCs w:val="32"/>
        </w:rPr>
        <w:t>元，占</w:t>
      </w:r>
      <w:r>
        <w:rPr>
          <w:rFonts w:hint="eastAsia" w:ascii="仿宋" w:hAnsi="仿宋" w:eastAsia="仿宋" w:cs="仿宋"/>
          <w:sz w:val="32"/>
          <w:szCs w:val="32"/>
          <w:lang w:val="en-US" w:eastAsia="zh-CN"/>
        </w:rPr>
        <w:t>87.32</w:t>
      </w:r>
      <w:r>
        <w:rPr>
          <w:rFonts w:hint="eastAsia" w:ascii="仿宋" w:hAnsi="仿宋" w:eastAsia="仿宋" w:cs="仿宋"/>
          <w:sz w:val="32"/>
          <w:szCs w:val="32"/>
        </w:rPr>
        <w:t>%;</w:t>
      </w:r>
      <w:r>
        <w:rPr>
          <w:rFonts w:hint="eastAsia" w:ascii="仿宋" w:hAnsi="仿宋" w:eastAsia="仿宋" w:cs="仿宋"/>
          <w:sz w:val="32"/>
          <w:szCs w:val="32"/>
          <w:lang w:eastAsia="zh-CN"/>
        </w:rPr>
        <w:t>社会保障和就业支出</w:t>
      </w:r>
      <w:r>
        <w:rPr>
          <w:rFonts w:hint="eastAsia" w:ascii="仿宋" w:hAnsi="仿宋" w:eastAsia="仿宋" w:cs="仿宋"/>
          <w:sz w:val="32"/>
          <w:szCs w:val="32"/>
          <w:lang w:val="en-US" w:eastAsia="zh-CN"/>
        </w:rPr>
        <w:t>3.65</w:t>
      </w:r>
      <w:r>
        <w:rPr>
          <w:rFonts w:hint="eastAsia" w:ascii="仿宋" w:hAnsi="仿宋" w:eastAsia="仿宋" w:cs="仿宋"/>
          <w:sz w:val="32"/>
          <w:szCs w:val="32"/>
        </w:rPr>
        <w:t>万元，占</w:t>
      </w:r>
      <w:r>
        <w:rPr>
          <w:rFonts w:hint="eastAsia" w:ascii="仿宋" w:hAnsi="仿宋" w:eastAsia="仿宋" w:cs="仿宋"/>
          <w:sz w:val="32"/>
          <w:szCs w:val="32"/>
          <w:lang w:val="en-US" w:eastAsia="zh-CN"/>
        </w:rPr>
        <w:t>8.88</w:t>
      </w:r>
      <w:r>
        <w:rPr>
          <w:rFonts w:hint="eastAsia" w:ascii="仿宋" w:hAnsi="仿宋" w:eastAsia="仿宋" w:cs="仿宋"/>
          <w:sz w:val="32"/>
          <w:szCs w:val="32"/>
        </w:rPr>
        <w:t>%;</w:t>
      </w:r>
      <w:r>
        <w:rPr>
          <w:rFonts w:hint="eastAsia" w:ascii="仿宋" w:hAnsi="仿宋" w:eastAsia="仿宋" w:cs="仿宋"/>
          <w:sz w:val="32"/>
          <w:szCs w:val="32"/>
          <w:lang w:eastAsia="zh-CN"/>
        </w:rPr>
        <w:t>医疗卫生与计划生育支出</w:t>
      </w:r>
      <w:r>
        <w:rPr>
          <w:rFonts w:hint="eastAsia" w:ascii="仿宋" w:hAnsi="仿宋" w:eastAsia="仿宋" w:cs="仿宋"/>
          <w:sz w:val="32"/>
          <w:szCs w:val="32"/>
          <w:lang w:val="en-US" w:eastAsia="zh-CN"/>
        </w:rPr>
        <w:t>1.56</w:t>
      </w:r>
      <w:r>
        <w:rPr>
          <w:rFonts w:hint="eastAsia" w:ascii="仿宋" w:hAnsi="仿宋" w:eastAsia="仿宋" w:cs="仿宋"/>
          <w:sz w:val="32"/>
          <w:szCs w:val="32"/>
        </w:rPr>
        <w:t>万元，占</w:t>
      </w:r>
      <w:r>
        <w:rPr>
          <w:rFonts w:hint="eastAsia" w:ascii="仿宋" w:hAnsi="仿宋" w:eastAsia="仿宋" w:cs="仿宋"/>
          <w:sz w:val="32"/>
          <w:szCs w:val="32"/>
          <w:lang w:val="en-US" w:eastAsia="zh-CN"/>
        </w:rPr>
        <w:t>3.80</w:t>
      </w:r>
      <w:r>
        <w:rPr>
          <w:rFonts w:hint="eastAsia" w:ascii="仿宋" w:hAnsi="仿宋" w:eastAsia="仿宋" w:cs="仿宋"/>
          <w:sz w:val="32"/>
          <w:szCs w:val="32"/>
        </w:rPr>
        <w:t>%</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 xml:space="preserve">           </w:t>
      </w:r>
    </w:p>
    <w:p>
      <w:pPr>
        <w:pStyle w:val="45"/>
        <w:shd w:val="clear" w:color="auto" w:fill="auto"/>
        <w:tabs>
          <w:tab w:val="left" w:pos="1578"/>
        </w:tabs>
        <w:spacing w:line="360" w:lineRule="auto"/>
        <w:ind w:firstLine="640" w:firstLineChars="200"/>
        <w:jc w:val="both"/>
        <w:outlineLvl w:val="2"/>
        <w:rPr>
          <w:rFonts w:hint="eastAsia" w:ascii="仿宋" w:hAnsi="仿宋" w:eastAsia="仿宋" w:cs="仿宋"/>
          <w:sz w:val="32"/>
          <w:szCs w:val="32"/>
        </w:rPr>
      </w:pPr>
      <w:r>
        <w:rPr>
          <w:rFonts w:hint="eastAsia" w:ascii="仿宋" w:hAnsi="仿宋" w:eastAsia="仿宋" w:cs="仿宋"/>
          <w:sz w:val="32"/>
          <w:szCs w:val="32"/>
        </w:rPr>
        <w:t>（三）一般公共预算拨款具体使用情况。</w:t>
      </w:r>
    </w:p>
    <w:p>
      <w:pPr>
        <w:pStyle w:val="45"/>
        <w:keepNext w:val="0"/>
        <w:keepLines w:val="0"/>
        <w:pageBreakBefore w:val="0"/>
        <w:widowControl w:val="0"/>
        <w:shd w:val="clear" w:color="auto" w:fill="auto"/>
        <w:tabs>
          <w:tab w:val="left" w:pos="1578"/>
        </w:tabs>
        <w:kinsoku/>
        <w:wordWrap/>
        <w:overflowPunct/>
        <w:topLinePunct w:val="0"/>
        <w:autoSpaceDE/>
        <w:autoSpaceDN/>
        <w:bidi w:val="0"/>
        <w:adjustRightInd/>
        <w:snapToGrid/>
        <w:spacing w:line="360" w:lineRule="auto"/>
        <w:jc w:val="both"/>
        <w:textAlignment w:val="auto"/>
        <w:rPr>
          <w:rFonts w:hint="eastAsia" w:ascii="仿宋" w:hAnsi="仿宋" w:eastAsia="仿宋" w:cs="仿宋"/>
          <w:color w:val="000000" w:themeColor="text1"/>
          <w:sz w:val="32"/>
          <w:szCs w:val="32"/>
          <w:lang w:eastAsia="zh-CN"/>
        </w:rPr>
      </w:pPr>
      <w:r>
        <w:rPr>
          <w:rStyle w:val="16"/>
          <w:rFonts w:hint="eastAsia" w:ascii="仿宋" w:hAnsi="仿宋" w:eastAsia="仿宋" w:cs="仿宋"/>
          <w:sz w:val="32"/>
          <w:szCs w:val="32"/>
          <w:lang w:val="en-US" w:eastAsia="zh-CN"/>
        </w:rPr>
        <w:t>1.一般公共服务支出（类）政府办公厅（室）及相关机构事务（款）其他政府办公厅（室）及相关机构事务支出（项）</w:t>
      </w:r>
      <w:r>
        <w:rPr>
          <w:rFonts w:hint="eastAsia" w:ascii="仿宋" w:hAnsi="仿宋" w:eastAsia="仿宋" w:cs="仿宋"/>
          <w:color w:val="000000" w:themeColor="text1"/>
          <w:sz w:val="32"/>
          <w:szCs w:val="32"/>
          <w:lang w:eastAsia="zh-CN"/>
        </w:rPr>
        <w:t>主要用于职工工资、津贴补贴、住房公积金及办公费。</w:t>
      </w:r>
      <w:r>
        <w:rPr>
          <w:rStyle w:val="16"/>
          <w:rFonts w:hint="eastAsia" w:ascii="仿宋" w:hAnsi="仿宋" w:eastAsia="仿宋" w:cs="仿宋"/>
          <w:b w:val="0"/>
          <w:bCs w:val="0"/>
          <w:sz w:val="32"/>
          <w:szCs w:val="32"/>
          <w:lang w:val="en-US" w:eastAsia="zh-CN"/>
        </w:rPr>
        <w:t>2020年预算30.38万</w:t>
      </w:r>
      <w:r>
        <w:rPr>
          <w:rStyle w:val="16"/>
          <w:rFonts w:hint="eastAsia" w:ascii="仿宋" w:hAnsi="仿宋" w:eastAsia="仿宋" w:cs="仿宋"/>
          <w:b w:val="0"/>
          <w:bCs w:val="0"/>
          <w:sz w:val="32"/>
          <w:szCs w:val="32"/>
          <w:lang w:val="en-US"/>
        </w:rPr>
        <w:t>元</w:t>
      </w:r>
      <w:r>
        <w:rPr>
          <w:rStyle w:val="16"/>
          <w:rFonts w:hint="eastAsia" w:ascii="仿宋" w:hAnsi="仿宋" w:eastAsia="仿宋" w:cs="仿宋"/>
          <w:b w:val="0"/>
          <w:bCs w:val="0"/>
          <w:sz w:val="32"/>
          <w:szCs w:val="32"/>
          <w:lang w:val="en-US" w:eastAsia="zh-CN"/>
        </w:rPr>
        <w:t>，</w:t>
      </w:r>
      <w:r>
        <w:rPr>
          <w:rStyle w:val="16"/>
          <w:rFonts w:hint="eastAsia" w:ascii="仿宋" w:hAnsi="仿宋" w:eastAsia="仿宋" w:cs="仿宋"/>
          <w:b w:val="0"/>
          <w:bCs w:val="0"/>
          <w:sz w:val="32"/>
          <w:szCs w:val="32"/>
          <w:lang w:val="en-US"/>
        </w:rPr>
        <w:t>比201</w:t>
      </w:r>
      <w:r>
        <w:rPr>
          <w:rStyle w:val="16"/>
          <w:rFonts w:hint="eastAsia" w:ascii="仿宋" w:hAnsi="仿宋" w:eastAsia="仿宋" w:cs="仿宋"/>
          <w:b w:val="0"/>
          <w:bCs w:val="0"/>
          <w:sz w:val="32"/>
          <w:szCs w:val="32"/>
          <w:lang w:val="en-US" w:eastAsia="zh-CN"/>
        </w:rPr>
        <w:t>9</w:t>
      </w:r>
      <w:r>
        <w:rPr>
          <w:rStyle w:val="16"/>
          <w:rFonts w:hint="eastAsia" w:ascii="仿宋" w:hAnsi="仿宋" w:eastAsia="仿宋" w:cs="仿宋"/>
          <w:b w:val="0"/>
          <w:bCs w:val="0"/>
          <w:sz w:val="32"/>
          <w:szCs w:val="32"/>
          <w:lang w:val="en-US"/>
        </w:rPr>
        <w:t>年预算</w:t>
      </w:r>
      <w:r>
        <w:rPr>
          <w:rStyle w:val="16"/>
          <w:rFonts w:hint="eastAsia" w:ascii="仿宋" w:hAnsi="仿宋" w:eastAsia="仿宋" w:cs="仿宋"/>
          <w:b w:val="0"/>
          <w:bCs w:val="0"/>
          <w:sz w:val="32"/>
          <w:szCs w:val="32"/>
          <w:lang w:val="en-US" w:eastAsia="zh-CN"/>
        </w:rPr>
        <w:t>减少6.12</w:t>
      </w:r>
      <w:r>
        <w:rPr>
          <w:rFonts w:hint="eastAsia" w:ascii="仿宋" w:hAnsi="仿宋" w:eastAsia="仿宋" w:cs="仿宋"/>
          <w:sz w:val="32"/>
          <w:szCs w:val="32"/>
        </w:rPr>
        <w:t>万元，</w:t>
      </w:r>
      <w:r>
        <w:rPr>
          <w:rFonts w:hint="eastAsia" w:ascii="仿宋" w:hAnsi="仿宋" w:eastAsia="仿宋" w:cs="仿宋"/>
          <w:sz w:val="32"/>
          <w:szCs w:val="32"/>
          <w:lang w:eastAsia="zh-CN"/>
        </w:rPr>
        <w:t>降低</w:t>
      </w:r>
      <w:r>
        <w:rPr>
          <w:rFonts w:hint="eastAsia" w:ascii="仿宋" w:hAnsi="仿宋" w:eastAsia="仿宋" w:cs="仿宋"/>
          <w:sz w:val="32"/>
          <w:szCs w:val="32"/>
          <w:lang w:val="en-US" w:eastAsia="zh-CN"/>
        </w:rPr>
        <w:t>16.8</w:t>
      </w:r>
      <w:r>
        <w:rPr>
          <w:rFonts w:hint="eastAsia" w:ascii="仿宋" w:hAnsi="仿宋" w:eastAsia="仿宋" w:cs="仿宋"/>
          <w:sz w:val="32"/>
          <w:szCs w:val="32"/>
        </w:rPr>
        <w:t>%,</w:t>
      </w:r>
      <w:r>
        <w:rPr>
          <w:rFonts w:hint="eastAsia" w:ascii="仿宋" w:hAnsi="仿宋" w:eastAsia="仿宋" w:cs="仿宋"/>
          <w:color w:val="000000" w:themeColor="text1"/>
          <w:sz w:val="32"/>
          <w:szCs w:val="32"/>
          <w:lang w:eastAsia="zh-CN"/>
        </w:rPr>
        <w:t>减少的主要原因是在职人员减少，对应经费相应减少。</w:t>
      </w:r>
    </w:p>
    <w:p>
      <w:pPr>
        <w:pStyle w:val="45"/>
        <w:keepNext w:val="0"/>
        <w:keepLines w:val="0"/>
        <w:pageBreakBefore w:val="0"/>
        <w:widowControl w:val="0"/>
        <w:shd w:val="clear" w:color="auto" w:fill="auto"/>
        <w:tabs>
          <w:tab w:val="left" w:pos="1578"/>
        </w:tabs>
        <w:kinsoku/>
        <w:wordWrap/>
        <w:overflowPunct/>
        <w:topLinePunct w:val="0"/>
        <w:autoSpaceDE/>
        <w:autoSpaceDN/>
        <w:bidi w:val="0"/>
        <w:adjustRightInd/>
        <w:snapToGrid/>
        <w:spacing w:line="360" w:lineRule="auto"/>
        <w:jc w:val="both"/>
        <w:textAlignment w:val="auto"/>
        <w:rPr>
          <w:rFonts w:hint="default" w:ascii="仿宋" w:hAnsi="仿宋" w:eastAsia="仿宋" w:cs="仿宋"/>
          <w:color w:val="000000" w:themeColor="text1"/>
          <w:sz w:val="32"/>
          <w:szCs w:val="32"/>
          <w:lang w:val="en-US" w:eastAsia="zh-CN"/>
        </w:rPr>
      </w:pPr>
      <w:r>
        <w:rPr>
          <w:rStyle w:val="16"/>
          <w:rFonts w:hint="eastAsia" w:ascii="仿宋" w:hAnsi="仿宋" w:eastAsia="仿宋" w:cs="仿宋"/>
          <w:sz w:val="32"/>
          <w:szCs w:val="32"/>
          <w:lang w:val="en-US" w:eastAsia="zh-CN"/>
        </w:rPr>
        <w:t>2.一般公共服务支出（类）政府办公厅（室）及相关机构事务（款）专项业务活动（项）</w:t>
      </w:r>
      <w:r>
        <w:rPr>
          <w:rFonts w:hint="eastAsia" w:ascii="仿宋" w:hAnsi="仿宋" w:eastAsia="仿宋" w:cs="仿宋"/>
          <w:color w:val="000000" w:themeColor="text1"/>
          <w:sz w:val="32"/>
          <w:szCs w:val="32"/>
          <w:lang w:eastAsia="zh-CN"/>
        </w:rPr>
        <w:t>主要用于评标专家评审费及评标相关费用。</w:t>
      </w:r>
      <w:r>
        <w:rPr>
          <w:rStyle w:val="16"/>
          <w:rFonts w:hint="eastAsia" w:ascii="仿宋" w:hAnsi="仿宋" w:eastAsia="仿宋" w:cs="仿宋"/>
          <w:b w:val="0"/>
          <w:bCs w:val="0"/>
          <w:sz w:val="32"/>
          <w:szCs w:val="32"/>
          <w:lang w:val="en-US" w:eastAsia="zh-CN"/>
        </w:rPr>
        <w:t>2020年预算5.5万</w:t>
      </w:r>
      <w:r>
        <w:rPr>
          <w:rStyle w:val="16"/>
          <w:rFonts w:hint="eastAsia" w:ascii="仿宋" w:hAnsi="仿宋" w:eastAsia="仿宋" w:cs="仿宋"/>
          <w:b w:val="0"/>
          <w:bCs w:val="0"/>
          <w:sz w:val="32"/>
          <w:szCs w:val="32"/>
          <w:lang w:val="en-US"/>
        </w:rPr>
        <w:t>元，与2019年预算持平，持平原因主要是两年该项目内容基本相同。</w:t>
      </w:r>
    </w:p>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firstLine="763" w:firstLineChars="200"/>
        <w:jc w:val="both"/>
        <w:textAlignment w:val="auto"/>
        <w:rPr>
          <w:rFonts w:hint="eastAsia" w:ascii="仿宋" w:hAnsi="仿宋" w:eastAsia="仿宋" w:cs="仿宋"/>
          <w:sz w:val="32"/>
          <w:szCs w:val="32"/>
          <w:lang w:eastAsia="zh-CN"/>
        </w:rPr>
      </w:pPr>
      <w:r>
        <w:rPr>
          <w:rStyle w:val="16"/>
          <w:rFonts w:hint="eastAsia" w:ascii="仿宋" w:hAnsi="仿宋" w:eastAsia="仿宋" w:cs="仿宋"/>
          <w:sz w:val="32"/>
          <w:szCs w:val="32"/>
          <w:lang w:val="en-US"/>
        </w:rPr>
        <w:t>3.</w:t>
      </w:r>
      <w:r>
        <w:rPr>
          <w:rStyle w:val="16"/>
          <w:rFonts w:hint="eastAsia" w:ascii="仿宋" w:hAnsi="仿宋" w:eastAsia="仿宋" w:cs="仿宋"/>
          <w:sz w:val="32"/>
          <w:szCs w:val="32"/>
        </w:rPr>
        <w:t>社会保障和就业支出</w:t>
      </w:r>
      <w:r>
        <w:rPr>
          <w:rStyle w:val="16"/>
          <w:rFonts w:hint="eastAsia" w:ascii="仿宋" w:hAnsi="仿宋" w:eastAsia="仿宋" w:cs="仿宋"/>
          <w:sz w:val="32"/>
          <w:szCs w:val="32"/>
          <w:lang w:val="en-US" w:eastAsia="zh-CN"/>
        </w:rPr>
        <w:t>（类）行政事业单位离退休（款）机关事业单位基本养老保险缴费支出（项）</w:t>
      </w:r>
      <w:r>
        <w:rPr>
          <w:rFonts w:hint="eastAsia" w:ascii="仿宋" w:hAnsi="仿宋" w:eastAsia="仿宋" w:cs="仿宋"/>
          <w:sz w:val="32"/>
          <w:szCs w:val="32"/>
          <w:lang w:val="en-US" w:eastAsia="zh-CN"/>
        </w:rPr>
        <w:t>主要用于缴纳基本养老保险费，</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年预算</w:t>
      </w:r>
      <w:r>
        <w:rPr>
          <w:rFonts w:hint="eastAsia" w:ascii="仿宋" w:hAnsi="仿宋" w:eastAsia="仿宋" w:cs="仿宋"/>
          <w:sz w:val="32"/>
          <w:szCs w:val="32"/>
          <w:lang w:val="en-US" w:eastAsia="zh-CN"/>
        </w:rPr>
        <w:t>3.63</w:t>
      </w:r>
      <w:r>
        <w:rPr>
          <w:rFonts w:hint="eastAsia" w:ascii="仿宋" w:hAnsi="仿宋" w:eastAsia="仿宋" w:cs="仿宋"/>
          <w:sz w:val="32"/>
          <w:szCs w:val="32"/>
        </w:rPr>
        <w:t>万元</w:t>
      </w:r>
      <w:r>
        <w:rPr>
          <w:rFonts w:hint="eastAsia" w:ascii="仿宋" w:hAnsi="仿宋" w:eastAsia="仿宋" w:cs="仿宋"/>
          <w:sz w:val="32"/>
          <w:szCs w:val="32"/>
          <w:lang w:eastAsia="zh-CN"/>
        </w:rPr>
        <w:t>。</w:t>
      </w:r>
    </w:p>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firstLine="763" w:firstLineChars="200"/>
        <w:jc w:val="both"/>
        <w:textAlignment w:val="auto"/>
        <w:rPr>
          <w:rStyle w:val="16"/>
          <w:rFonts w:hint="eastAsia" w:ascii="仿宋" w:hAnsi="仿宋" w:eastAsia="仿宋" w:cs="仿宋"/>
          <w:b w:val="0"/>
          <w:bCs w:val="0"/>
          <w:sz w:val="32"/>
          <w:szCs w:val="32"/>
          <w:lang w:val="en-US" w:eastAsia="zh-CN"/>
        </w:rPr>
      </w:pPr>
      <w:r>
        <w:rPr>
          <w:rStyle w:val="16"/>
          <w:rFonts w:hint="eastAsia" w:ascii="仿宋" w:hAnsi="仿宋" w:eastAsia="仿宋" w:cs="仿宋"/>
          <w:sz w:val="32"/>
          <w:szCs w:val="32"/>
          <w:lang w:val="en-US"/>
        </w:rPr>
        <w:t>4.</w:t>
      </w:r>
      <w:r>
        <w:rPr>
          <w:rStyle w:val="16"/>
          <w:rFonts w:hint="eastAsia" w:ascii="仿宋" w:hAnsi="仿宋" w:eastAsia="仿宋" w:cs="仿宋"/>
          <w:sz w:val="32"/>
          <w:szCs w:val="32"/>
        </w:rPr>
        <w:t>社会保障和就业支出</w:t>
      </w:r>
      <w:r>
        <w:rPr>
          <w:rStyle w:val="16"/>
          <w:rFonts w:hint="eastAsia" w:ascii="仿宋" w:hAnsi="仿宋" w:eastAsia="仿宋" w:cs="仿宋"/>
          <w:sz w:val="32"/>
          <w:szCs w:val="32"/>
          <w:lang w:val="en-US" w:eastAsia="zh-CN"/>
        </w:rPr>
        <w:t>（类）行政事业单位离退休（款）财政对工伤保险基金的补助（项）</w:t>
      </w:r>
      <w:r>
        <w:rPr>
          <w:rStyle w:val="16"/>
          <w:rFonts w:hint="eastAsia" w:ascii="仿宋" w:hAnsi="仿宋" w:eastAsia="仿宋" w:cs="仿宋"/>
          <w:b w:val="0"/>
          <w:bCs w:val="0"/>
          <w:sz w:val="32"/>
          <w:szCs w:val="32"/>
          <w:lang w:val="en-US" w:eastAsia="zh-CN"/>
        </w:rPr>
        <w:t xml:space="preserve">主要用于工伤保险支出，2020年预算0.02万元。 </w:t>
      </w:r>
    </w:p>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360" w:lineRule="auto"/>
        <w:ind w:firstLine="763" w:firstLineChars="200"/>
        <w:jc w:val="both"/>
        <w:textAlignment w:val="auto"/>
        <w:rPr>
          <w:rStyle w:val="16"/>
          <w:rFonts w:hint="default" w:ascii="仿宋" w:hAnsi="仿宋" w:eastAsia="仿宋" w:cs="仿宋"/>
          <w:b w:val="0"/>
          <w:bCs w:val="0"/>
          <w:sz w:val="32"/>
          <w:szCs w:val="32"/>
          <w:lang w:val="en-US" w:eastAsia="zh-CN"/>
        </w:rPr>
      </w:pPr>
      <w:r>
        <w:rPr>
          <w:rStyle w:val="16"/>
          <w:rFonts w:hint="eastAsia" w:ascii="仿宋" w:hAnsi="仿宋" w:eastAsia="仿宋" w:cs="仿宋"/>
          <w:b/>
          <w:bCs/>
          <w:sz w:val="32"/>
          <w:szCs w:val="32"/>
          <w:lang w:val="en-US" w:eastAsia="zh-CN"/>
        </w:rPr>
        <w:t>5.</w:t>
      </w:r>
      <w:r>
        <w:rPr>
          <w:rStyle w:val="16"/>
          <w:rFonts w:hint="default" w:ascii="仿宋" w:hAnsi="仿宋" w:eastAsia="仿宋" w:cs="仿宋"/>
          <w:b/>
          <w:bCs/>
          <w:sz w:val="32"/>
          <w:szCs w:val="32"/>
          <w:lang w:val="en-US" w:eastAsia="zh-CN"/>
        </w:rPr>
        <w:t>医疗卫生与计划生育支出</w:t>
      </w:r>
      <w:r>
        <w:rPr>
          <w:rStyle w:val="16"/>
          <w:rFonts w:hint="eastAsia" w:ascii="仿宋" w:hAnsi="仿宋" w:eastAsia="仿宋" w:cs="仿宋"/>
          <w:b/>
          <w:bCs/>
          <w:sz w:val="32"/>
          <w:szCs w:val="32"/>
          <w:lang w:val="en-US" w:eastAsia="zh-CN"/>
        </w:rPr>
        <w:t>（类）财政对其他社会保险基金的补助（款）财政对职工基本医疗保险基金的补助（项）</w:t>
      </w:r>
      <w:r>
        <w:rPr>
          <w:rStyle w:val="16"/>
          <w:rFonts w:hint="eastAsia" w:ascii="仿宋" w:hAnsi="仿宋" w:eastAsia="仿宋" w:cs="仿宋"/>
          <w:b w:val="0"/>
          <w:bCs w:val="0"/>
          <w:sz w:val="32"/>
          <w:szCs w:val="32"/>
          <w:lang w:val="en-US" w:eastAsia="zh-CN"/>
        </w:rPr>
        <w:t>主要用于医疗保险支出，2020年预算1.56 万元。</w:t>
      </w:r>
    </w:p>
    <w:p>
      <w:pPr>
        <w:pStyle w:val="12"/>
        <w:shd w:val="clear" w:color="auto" w:fill="auto"/>
        <w:spacing w:after="0" w:line="360" w:lineRule="auto"/>
        <w:ind w:firstLine="763" w:firstLineChars="200"/>
        <w:jc w:val="both"/>
        <w:outlineLvl w:val="1"/>
        <w:rPr>
          <w:rFonts w:ascii="仿宋" w:hAnsi="仿宋" w:eastAsia="仿宋" w:cs="仿宋"/>
          <w:sz w:val="32"/>
          <w:szCs w:val="32"/>
        </w:rPr>
      </w:pPr>
      <w:r>
        <w:rPr>
          <w:rFonts w:hint="eastAsia" w:ascii="仿宋" w:hAnsi="仿宋" w:eastAsia="仿宋" w:cs="仿宋"/>
          <w:b/>
          <w:bCs/>
          <w:sz w:val="32"/>
          <w:szCs w:val="32"/>
        </w:rPr>
        <w:t>三、</w:t>
      </w:r>
      <w:r>
        <w:rPr>
          <w:rFonts w:hint="eastAsia" w:ascii="仿宋" w:hAnsi="仿宋" w:eastAsia="仿宋" w:cs="仿宋"/>
          <w:sz w:val="32"/>
          <w:szCs w:val="32"/>
        </w:rPr>
        <w:t>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年一般公共预算基本支出情况说明</w:t>
      </w:r>
    </w:p>
    <w:p>
      <w:pPr>
        <w:pStyle w:val="14"/>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年一般公共预算基本支出</w:t>
      </w:r>
      <w:r>
        <w:rPr>
          <w:rFonts w:hint="eastAsia" w:ascii="仿宋" w:hAnsi="仿宋" w:eastAsia="仿宋" w:cs="仿宋"/>
          <w:sz w:val="32"/>
          <w:szCs w:val="32"/>
          <w:lang w:val="en-US" w:eastAsia="zh-CN" w:bidi="en-US"/>
        </w:rPr>
        <w:t>35.59</w:t>
      </w:r>
      <w:r>
        <w:rPr>
          <w:rFonts w:hint="eastAsia" w:ascii="仿宋" w:hAnsi="仿宋" w:eastAsia="仿宋" w:cs="仿宋"/>
          <w:sz w:val="32"/>
          <w:szCs w:val="32"/>
        </w:rPr>
        <w:t>万元，其中：</w:t>
      </w:r>
    </w:p>
    <w:p>
      <w:pPr>
        <w:pStyle w:val="14"/>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rPr>
        <w:t>工资福利支出30.59万元，主要包括：基本工资、津贴补贴、机关事业单位基本养老保险缴费</w:t>
      </w:r>
      <w:r>
        <w:rPr>
          <w:rFonts w:hint="eastAsia" w:ascii="仿宋" w:hAnsi="仿宋" w:eastAsia="仿宋" w:cs="仿宋"/>
          <w:sz w:val="32"/>
          <w:szCs w:val="32"/>
          <w:lang w:eastAsia="zh-CN"/>
        </w:rPr>
        <w:t>、职工基本医疗保险缴费、其他社会保障缴费、住房公积金等</w:t>
      </w:r>
      <w:r>
        <w:rPr>
          <w:rFonts w:hint="eastAsia" w:ascii="仿宋" w:hAnsi="仿宋" w:eastAsia="仿宋" w:cs="仿宋"/>
          <w:sz w:val="32"/>
          <w:szCs w:val="32"/>
        </w:rPr>
        <w:t>。</w:t>
      </w:r>
    </w:p>
    <w:p>
      <w:pPr>
        <w:pStyle w:val="14"/>
        <w:shd w:val="clear" w:color="auto" w:fill="auto"/>
        <w:spacing w:before="0" w:after="0" w:line="360" w:lineRule="auto"/>
        <w:ind w:firstLine="760" w:firstLineChars="200"/>
        <w:jc w:val="both"/>
        <w:rPr>
          <w:rFonts w:hint="eastAsia" w:ascii="仿宋" w:hAnsi="仿宋" w:eastAsia="仿宋" w:cs="仿宋"/>
          <w:sz w:val="32"/>
          <w:szCs w:val="32"/>
          <w:lang w:eastAsia="zh-CN"/>
        </w:rPr>
      </w:pPr>
      <w:r>
        <w:rPr>
          <w:rFonts w:hint="eastAsia" w:ascii="仿宋" w:hAnsi="仿宋" w:eastAsia="仿宋" w:cs="仿宋"/>
          <w:sz w:val="32"/>
          <w:szCs w:val="32"/>
        </w:rPr>
        <w:t>商品和服务支出</w:t>
      </w:r>
      <w:r>
        <w:rPr>
          <w:rFonts w:hint="eastAsia" w:ascii="仿宋" w:hAnsi="仿宋" w:eastAsia="仿宋" w:cs="仿宋"/>
          <w:sz w:val="32"/>
          <w:szCs w:val="32"/>
          <w:lang w:val="en-US" w:eastAsia="zh-CN" w:bidi="en-US"/>
        </w:rPr>
        <w:t>5.00</w:t>
      </w:r>
      <w:r>
        <w:rPr>
          <w:rFonts w:hint="eastAsia" w:ascii="仿宋" w:hAnsi="仿宋" w:eastAsia="仿宋" w:cs="仿宋"/>
          <w:sz w:val="32"/>
          <w:szCs w:val="32"/>
        </w:rPr>
        <w:t>万元</w:t>
      </w:r>
      <w:r>
        <w:rPr>
          <w:rFonts w:hint="eastAsia" w:ascii="仿宋" w:hAnsi="仿宋" w:eastAsia="仿宋" w:cs="仿宋"/>
          <w:sz w:val="32"/>
          <w:szCs w:val="32"/>
          <w:lang w:val="en-US" w:eastAsia="zh-CN"/>
        </w:rPr>
        <w:t>,</w:t>
      </w:r>
      <w:r>
        <w:rPr>
          <w:rFonts w:hint="eastAsia" w:ascii="仿宋" w:hAnsi="仿宋" w:eastAsia="仿宋" w:cs="仿宋"/>
          <w:sz w:val="32"/>
          <w:szCs w:val="32"/>
        </w:rPr>
        <w:t>主要包括：办公费、</w:t>
      </w:r>
      <w:r>
        <w:rPr>
          <w:rFonts w:hint="eastAsia" w:ascii="仿宋" w:hAnsi="仿宋" w:eastAsia="仿宋" w:cs="仿宋"/>
          <w:sz w:val="32"/>
          <w:szCs w:val="32"/>
          <w:lang w:eastAsia="zh-CN"/>
        </w:rPr>
        <w:t>公务接待费等。</w:t>
      </w:r>
    </w:p>
    <w:p>
      <w:pPr>
        <w:pStyle w:val="12"/>
        <w:shd w:val="clear" w:color="auto" w:fill="auto"/>
        <w:tabs>
          <w:tab w:val="left" w:pos="1316"/>
        </w:tabs>
        <w:spacing w:after="0" w:line="360" w:lineRule="auto"/>
        <w:ind w:firstLine="763" w:firstLineChars="200"/>
        <w:jc w:val="both"/>
        <w:outlineLvl w:val="1"/>
        <w:rPr>
          <w:rFonts w:hint="eastAsia" w:ascii="仿宋" w:hAnsi="仿宋" w:eastAsia="仿宋" w:cs="仿宋"/>
          <w:sz w:val="32"/>
          <w:szCs w:val="32"/>
        </w:rPr>
      </w:pPr>
      <w:r>
        <w:rPr>
          <w:rFonts w:hint="eastAsia" w:ascii="仿宋" w:hAnsi="仿宋" w:eastAsia="仿宋" w:cs="仿宋"/>
          <w:sz w:val="32"/>
          <w:szCs w:val="32"/>
        </w:rPr>
        <w:t>四、关于20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年政府性基金预算拨款情况说明</w:t>
      </w:r>
    </w:p>
    <w:p>
      <w:pPr>
        <w:pStyle w:val="14"/>
        <w:shd w:val="clear" w:color="auto" w:fill="auto"/>
        <w:spacing w:before="0" w:after="0" w:line="360" w:lineRule="auto"/>
        <w:ind w:firstLine="760" w:firstLineChars="200"/>
        <w:rPr>
          <w:rFonts w:hint="eastAsia" w:ascii="仿宋" w:hAnsi="仿宋" w:eastAsia="仿宋" w:cs="仿宋"/>
          <w:sz w:val="32"/>
          <w:szCs w:val="32"/>
          <w:lang w:val="en-US" w:eastAsia="zh-CN"/>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lang w:val="en-US" w:eastAsia="zh-CN"/>
        </w:rPr>
        <w:t>2020年没有</w:t>
      </w:r>
      <w:r>
        <w:rPr>
          <w:rFonts w:hint="eastAsia" w:ascii="仿宋" w:hAnsi="仿宋" w:eastAsia="仿宋" w:cs="仿宋"/>
          <w:sz w:val="32"/>
          <w:szCs w:val="32"/>
        </w:rPr>
        <w:t>政府性基金预算拨款</w:t>
      </w:r>
      <w:r>
        <w:rPr>
          <w:rFonts w:hint="eastAsia" w:ascii="仿宋" w:hAnsi="仿宋" w:eastAsia="仿宋" w:cs="仿宋"/>
          <w:sz w:val="32"/>
          <w:szCs w:val="32"/>
          <w:lang w:eastAsia="zh-CN"/>
        </w:rPr>
        <w:t>收入，也没有使用政府性</w:t>
      </w:r>
      <w:r>
        <w:rPr>
          <w:rFonts w:hint="eastAsia" w:ascii="仿宋" w:hAnsi="仿宋" w:eastAsia="仿宋" w:cs="仿宋"/>
          <w:sz w:val="32"/>
          <w:szCs w:val="32"/>
        </w:rPr>
        <w:t>基金预算拨款</w:t>
      </w:r>
      <w:r>
        <w:rPr>
          <w:rFonts w:hint="eastAsia" w:ascii="仿宋" w:hAnsi="仿宋" w:eastAsia="仿宋" w:cs="仿宋"/>
          <w:sz w:val="32"/>
          <w:szCs w:val="32"/>
          <w:lang w:eastAsia="zh-CN"/>
        </w:rPr>
        <w:t>安排的支出。</w:t>
      </w:r>
    </w:p>
    <w:p>
      <w:pPr>
        <w:pStyle w:val="12"/>
        <w:shd w:val="clear" w:color="auto" w:fill="auto"/>
        <w:tabs>
          <w:tab w:val="left" w:pos="1316"/>
        </w:tabs>
        <w:spacing w:after="0" w:line="360" w:lineRule="auto"/>
        <w:ind w:firstLine="763" w:firstLineChars="200"/>
        <w:jc w:val="both"/>
        <w:outlineLvl w:val="1"/>
        <w:rPr>
          <w:rFonts w:ascii="仿宋" w:hAnsi="仿宋" w:eastAsia="仿宋" w:cs="仿宋"/>
          <w:sz w:val="32"/>
          <w:szCs w:val="32"/>
        </w:rPr>
      </w:pPr>
      <w:r>
        <w:rPr>
          <w:rFonts w:hint="eastAsia" w:ascii="仿宋" w:hAnsi="仿宋" w:eastAsia="仿宋" w:cs="仿宋"/>
          <w:sz w:val="32"/>
          <w:szCs w:val="32"/>
        </w:rPr>
        <w:t>五、关于20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年收支预算总体情况说明</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按照综合预算管理原则，</w:t>
      </w: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所有收入和支出均纳入部门预算管理。</w:t>
      </w: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年收支总预算</w:t>
      </w:r>
      <w:r>
        <w:rPr>
          <w:rFonts w:hint="eastAsia" w:ascii="仿宋" w:hAnsi="仿宋" w:eastAsia="仿宋" w:cs="仿宋"/>
          <w:sz w:val="32"/>
          <w:szCs w:val="32"/>
          <w:lang w:val="en-US" w:eastAsia="zh-CN"/>
        </w:rPr>
        <w:t>41.09</w:t>
      </w:r>
      <w:r>
        <w:rPr>
          <w:rFonts w:hint="eastAsia" w:ascii="仿宋" w:hAnsi="仿宋" w:eastAsia="仿宋" w:cs="仿宋"/>
          <w:sz w:val="32"/>
          <w:szCs w:val="32"/>
        </w:rPr>
        <w:t>万元，收入为一般公共预算拨款收入，支出包括：</w:t>
      </w:r>
      <w:r>
        <w:rPr>
          <w:rFonts w:hint="eastAsia" w:ascii="仿宋" w:hAnsi="仿宋" w:eastAsia="仿宋" w:cs="仿宋"/>
          <w:sz w:val="32"/>
          <w:szCs w:val="32"/>
          <w:lang w:eastAsia="zh-CN"/>
        </w:rPr>
        <w:t>一般公共服务支出、社会保障和就业支出、医疗卫生与计划生育支出</w:t>
      </w:r>
      <w:r>
        <w:rPr>
          <w:rFonts w:hint="eastAsia" w:ascii="仿宋" w:hAnsi="仿宋" w:eastAsia="仿宋" w:cs="仿宋"/>
          <w:sz w:val="32"/>
          <w:szCs w:val="32"/>
        </w:rPr>
        <w:t>等。</w:t>
      </w:r>
    </w:p>
    <w:p>
      <w:pPr>
        <w:pStyle w:val="12"/>
        <w:shd w:val="clear" w:color="auto" w:fill="auto"/>
        <w:tabs>
          <w:tab w:val="left" w:pos="1316"/>
        </w:tabs>
        <w:spacing w:after="0" w:line="360" w:lineRule="auto"/>
        <w:ind w:firstLine="763" w:firstLineChars="200"/>
        <w:jc w:val="both"/>
        <w:outlineLvl w:val="1"/>
        <w:rPr>
          <w:rFonts w:ascii="仿宋" w:hAnsi="仿宋" w:eastAsia="仿宋" w:cs="仿宋"/>
          <w:sz w:val="32"/>
          <w:szCs w:val="32"/>
        </w:rPr>
      </w:pPr>
      <w:r>
        <w:rPr>
          <w:rFonts w:hint="eastAsia" w:ascii="仿宋" w:hAnsi="仿宋" w:eastAsia="仿宋" w:cs="仿宋"/>
          <w:sz w:val="32"/>
          <w:szCs w:val="32"/>
        </w:rPr>
        <w:t>六、关于20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年收入预算情况说明</w:t>
      </w:r>
    </w:p>
    <w:p>
      <w:pPr>
        <w:pStyle w:val="45"/>
        <w:keepNext w:val="0"/>
        <w:keepLines w:val="0"/>
        <w:pageBreakBefore w:val="0"/>
        <w:widowControl w:val="0"/>
        <w:shd w:val="clear" w:color="auto" w:fill="auto"/>
        <w:tabs>
          <w:tab w:val="left" w:pos="1578"/>
        </w:tabs>
        <w:kinsoku/>
        <w:wordWrap/>
        <w:overflowPunct/>
        <w:topLinePunct w:val="0"/>
        <w:autoSpaceDE/>
        <w:autoSpaceDN/>
        <w:bidi w:val="0"/>
        <w:adjustRightInd/>
        <w:snapToGrid/>
        <w:spacing w:line="360" w:lineRule="auto"/>
        <w:jc w:val="both"/>
        <w:textAlignment w:val="auto"/>
        <w:rPr>
          <w:rFonts w:ascii="仿宋" w:hAnsi="仿宋" w:eastAsia="仿宋" w:cs="仿宋"/>
          <w:sz w:val="32"/>
          <w:szCs w:val="32"/>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年收入预算</w:t>
      </w:r>
      <w:r>
        <w:rPr>
          <w:rFonts w:hint="eastAsia" w:ascii="仿宋" w:hAnsi="仿宋" w:eastAsia="仿宋" w:cs="仿宋"/>
          <w:sz w:val="32"/>
          <w:szCs w:val="32"/>
          <w:lang w:val="en-US" w:eastAsia="zh-CN"/>
        </w:rPr>
        <w:t>41.09</w:t>
      </w:r>
      <w:r>
        <w:rPr>
          <w:rFonts w:hint="eastAsia" w:ascii="仿宋" w:hAnsi="仿宋" w:eastAsia="仿宋" w:cs="仿宋"/>
          <w:sz w:val="32"/>
          <w:szCs w:val="32"/>
        </w:rPr>
        <w:t>万元，其中：一般公共预算拨款收入</w:t>
      </w:r>
      <w:r>
        <w:rPr>
          <w:rFonts w:hint="eastAsia" w:ascii="仿宋" w:hAnsi="仿宋" w:eastAsia="仿宋" w:cs="仿宋"/>
          <w:sz w:val="32"/>
          <w:szCs w:val="32"/>
          <w:lang w:val="en-US" w:eastAsia="zh-CN"/>
        </w:rPr>
        <w:t>41.09</w:t>
      </w:r>
      <w:r>
        <w:rPr>
          <w:rFonts w:hint="eastAsia" w:ascii="仿宋" w:hAnsi="仿宋" w:eastAsia="仿宋" w:cs="仿宋"/>
          <w:sz w:val="32"/>
          <w:szCs w:val="32"/>
        </w:rPr>
        <w:t>万元，占100%，比201</w:t>
      </w:r>
      <w:r>
        <w:rPr>
          <w:rFonts w:hint="eastAsia" w:ascii="仿宋" w:hAnsi="仿宋" w:eastAsia="仿宋" w:cs="仿宋"/>
          <w:sz w:val="32"/>
          <w:szCs w:val="32"/>
          <w:lang w:val="en-US" w:eastAsia="zh-CN"/>
        </w:rPr>
        <w:t>9</w:t>
      </w:r>
      <w:r>
        <w:rPr>
          <w:rFonts w:hint="eastAsia" w:ascii="仿宋" w:hAnsi="仿宋" w:eastAsia="仿宋" w:cs="仿宋"/>
          <w:sz w:val="32"/>
          <w:szCs w:val="32"/>
        </w:rPr>
        <w:t>年预算</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11.81</w:t>
      </w:r>
      <w:r>
        <w:rPr>
          <w:rFonts w:hint="eastAsia" w:ascii="仿宋" w:hAnsi="仿宋" w:eastAsia="仿宋" w:cs="仿宋"/>
          <w:sz w:val="32"/>
          <w:szCs w:val="32"/>
        </w:rPr>
        <w:t>万元，</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22.33</w:t>
      </w:r>
      <w:r>
        <w:rPr>
          <w:rFonts w:hint="eastAsia" w:ascii="仿宋" w:hAnsi="仿宋" w:eastAsia="仿宋" w:cs="仿宋"/>
          <w:sz w:val="32"/>
          <w:szCs w:val="32"/>
        </w:rPr>
        <w:t>%,</w:t>
      </w:r>
      <w:r>
        <w:rPr>
          <w:rFonts w:hint="eastAsia" w:ascii="仿宋" w:hAnsi="仿宋" w:eastAsia="仿宋" w:cs="仿宋"/>
          <w:sz w:val="32"/>
          <w:szCs w:val="32"/>
          <w:lang w:eastAsia="zh-CN"/>
        </w:rPr>
        <w:t>减少</w:t>
      </w:r>
      <w:r>
        <w:rPr>
          <w:rFonts w:hint="eastAsia" w:ascii="仿宋" w:hAnsi="仿宋" w:eastAsia="仿宋" w:cs="仿宋"/>
          <w:sz w:val="32"/>
          <w:szCs w:val="32"/>
        </w:rPr>
        <w:t>原因主要是</w:t>
      </w:r>
      <w:r>
        <w:rPr>
          <w:rFonts w:hint="eastAsia" w:ascii="仿宋" w:hAnsi="仿宋" w:eastAsia="仿宋" w:cs="仿宋"/>
          <w:color w:val="000000" w:themeColor="text1"/>
          <w:sz w:val="32"/>
          <w:szCs w:val="32"/>
          <w:lang w:eastAsia="zh-CN"/>
        </w:rPr>
        <w:t>在职人员减少，对应经费相应减少。</w:t>
      </w:r>
    </w:p>
    <w:p>
      <w:pPr>
        <w:pStyle w:val="12"/>
        <w:shd w:val="clear" w:color="auto" w:fill="auto"/>
        <w:tabs>
          <w:tab w:val="left" w:pos="1316"/>
        </w:tabs>
        <w:spacing w:after="0" w:line="360" w:lineRule="auto"/>
        <w:ind w:firstLine="763" w:firstLineChars="200"/>
        <w:jc w:val="both"/>
        <w:outlineLvl w:val="1"/>
        <w:rPr>
          <w:rFonts w:ascii="仿宋" w:hAnsi="仿宋" w:eastAsia="仿宋" w:cs="仿宋"/>
          <w:sz w:val="32"/>
          <w:szCs w:val="32"/>
        </w:rPr>
      </w:pPr>
      <w:r>
        <w:rPr>
          <w:rFonts w:hint="eastAsia" w:ascii="仿宋" w:hAnsi="仿宋" w:eastAsia="仿宋" w:cs="仿宋"/>
          <w:sz w:val="32"/>
          <w:szCs w:val="32"/>
        </w:rPr>
        <w:t>七、关于20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年支出预算情况说明</w:t>
      </w:r>
    </w:p>
    <w:p>
      <w:pPr>
        <w:pStyle w:val="45"/>
        <w:keepNext w:val="0"/>
        <w:keepLines w:val="0"/>
        <w:pageBreakBefore w:val="0"/>
        <w:widowControl w:val="0"/>
        <w:shd w:val="clear" w:color="auto" w:fill="auto"/>
        <w:tabs>
          <w:tab w:val="left" w:pos="1578"/>
        </w:tabs>
        <w:kinsoku/>
        <w:wordWrap/>
        <w:overflowPunct/>
        <w:topLinePunct w:val="0"/>
        <w:autoSpaceDE/>
        <w:autoSpaceDN/>
        <w:bidi w:val="0"/>
        <w:adjustRightInd/>
        <w:snapToGrid/>
        <w:spacing w:line="360" w:lineRule="auto"/>
        <w:jc w:val="both"/>
        <w:textAlignment w:val="auto"/>
        <w:rPr>
          <w:rFonts w:ascii="仿宋" w:hAnsi="仿宋" w:eastAsia="仿宋" w:cs="仿宋"/>
          <w:sz w:val="32"/>
          <w:szCs w:val="32"/>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年支出预算</w:t>
      </w:r>
      <w:r>
        <w:rPr>
          <w:rFonts w:hint="eastAsia" w:ascii="仿宋" w:hAnsi="仿宋" w:eastAsia="仿宋" w:cs="仿宋"/>
          <w:sz w:val="32"/>
          <w:szCs w:val="32"/>
          <w:lang w:val="en-US" w:eastAsia="zh-CN"/>
        </w:rPr>
        <w:t>41.09</w:t>
      </w:r>
      <w:r>
        <w:rPr>
          <w:rFonts w:hint="eastAsia" w:ascii="仿宋" w:hAnsi="仿宋" w:eastAsia="仿宋" w:cs="仿宋"/>
          <w:sz w:val="32"/>
          <w:szCs w:val="32"/>
        </w:rPr>
        <w:t>万元，比201</w:t>
      </w:r>
      <w:r>
        <w:rPr>
          <w:rFonts w:hint="eastAsia" w:ascii="仿宋" w:hAnsi="仿宋" w:eastAsia="仿宋" w:cs="仿宋"/>
          <w:sz w:val="32"/>
          <w:szCs w:val="32"/>
          <w:lang w:val="en-US" w:eastAsia="zh-CN"/>
        </w:rPr>
        <w:t>9</w:t>
      </w:r>
      <w:r>
        <w:rPr>
          <w:rFonts w:hint="eastAsia" w:ascii="仿宋" w:hAnsi="仿宋" w:eastAsia="仿宋" w:cs="仿宋"/>
          <w:sz w:val="32"/>
          <w:szCs w:val="32"/>
        </w:rPr>
        <w:t>年预算</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11.81</w:t>
      </w:r>
      <w:r>
        <w:rPr>
          <w:rFonts w:hint="eastAsia" w:ascii="仿宋" w:hAnsi="仿宋" w:eastAsia="仿宋" w:cs="仿宋"/>
          <w:sz w:val="32"/>
          <w:szCs w:val="32"/>
        </w:rPr>
        <w:t>万元，</w:t>
      </w:r>
      <w:r>
        <w:rPr>
          <w:rFonts w:hint="eastAsia" w:ascii="仿宋" w:hAnsi="仿宋" w:eastAsia="仿宋" w:cs="仿宋"/>
          <w:sz w:val="32"/>
          <w:szCs w:val="32"/>
          <w:lang w:eastAsia="zh-CN"/>
        </w:rPr>
        <w:t>减少</w:t>
      </w:r>
      <w:r>
        <w:rPr>
          <w:rFonts w:hint="eastAsia" w:ascii="仿宋" w:hAnsi="仿宋" w:eastAsia="仿宋" w:cs="仿宋"/>
          <w:sz w:val="32"/>
          <w:szCs w:val="32"/>
          <w:lang w:val="en-US" w:eastAsia="zh-CN"/>
        </w:rPr>
        <w:t>22.33</w:t>
      </w:r>
      <w:r>
        <w:rPr>
          <w:rFonts w:hint="eastAsia" w:ascii="仿宋" w:hAnsi="仿宋" w:eastAsia="仿宋" w:cs="仿宋"/>
          <w:sz w:val="32"/>
          <w:szCs w:val="32"/>
        </w:rPr>
        <w:t>%,</w:t>
      </w:r>
      <w:r>
        <w:rPr>
          <w:rFonts w:hint="eastAsia" w:ascii="仿宋" w:hAnsi="仿宋" w:eastAsia="仿宋" w:cs="仿宋"/>
          <w:sz w:val="32"/>
          <w:szCs w:val="32"/>
          <w:lang w:eastAsia="zh-CN"/>
        </w:rPr>
        <w:t>减少</w:t>
      </w:r>
      <w:r>
        <w:rPr>
          <w:rFonts w:hint="eastAsia" w:ascii="仿宋" w:hAnsi="仿宋" w:eastAsia="仿宋" w:cs="仿宋"/>
          <w:sz w:val="32"/>
          <w:szCs w:val="32"/>
        </w:rPr>
        <w:t>原因主要是</w:t>
      </w:r>
      <w:r>
        <w:rPr>
          <w:rFonts w:hint="eastAsia" w:ascii="仿宋" w:hAnsi="仿宋" w:eastAsia="仿宋" w:cs="仿宋"/>
          <w:color w:val="000000" w:themeColor="text1"/>
          <w:sz w:val="32"/>
          <w:szCs w:val="32"/>
          <w:lang w:eastAsia="zh-CN"/>
        </w:rPr>
        <w:t>在职人员减少，对应经费相应减少。</w:t>
      </w:r>
      <w:r>
        <w:rPr>
          <w:rFonts w:hint="eastAsia" w:ascii="仿宋" w:hAnsi="仿宋" w:eastAsia="仿宋" w:cs="仿宋"/>
          <w:sz w:val="32"/>
          <w:szCs w:val="32"/>
        </w:rPr>
        <w:t>其中，基本支出35.59 万元，占</w:t>
      </w:r>
      <w:r>
        <w:rPr>
          <w:rFonts w:hint="eastAsia" w:ascii="仿宋" w:hAnsi="仿宋" w:eastAsia="仿宋" w:cs="仿宋"/>
          <w:sz w:val="32"/>
          <w:szCs w:val="32"/>
          <w:lang w:val="en-US" w:eastAsia="zh-CN"/>
        </w:rPr>
        <w:t>86.6</w:t>
      </w:r>
      <w:r>
        <w:rPr>
          <w:rFonts w:hint="eastAsia" w:ascii="仿宋" w:hAnsi="仿宋" w:eastAsia="仿宋" w:cs="仿宋"/>
          <w:sz w:val="32"/>
          <w:szCs w:val="32"/>
        </w:rPr>
        <w:t>%,主要用于保障机构日常运转、完成日常工作任务</w:t>
      </w:r>
      <w:r>
        <w:rPr>
          <w:rFonts w:hint="eastAsia" w:ascii="仿宋" w:hAnsi="仿宋" w:eastAsia="仿宋" w:cs="仿宋"/>
          <w:sz w:val="32"/>
          <w:szCs w:val="32"/>
          <w:lang w:eastAsia="zh-CN"/>
        </w:rPr>
        <w:t>等</w:t>
      </w:r>
      <w:r>
        <w:rPr>
          <w:rFonts w:hint="eastAsia" w:ascii="仿宋" w:hAnsi="仿宋" w:eastAsia="仿宋" w:cs="仿宋"/>
          <w:sz w:val="32"/>
          <w:szCs w:val="32"/>
        </w:rPr>
        <w:t>；项目支出</w:t>
      </w:r>
      <w:r>
        <w:rPr>
          <w:rFonts w:hint="eastAsia" w:ascii="仿宋" w:hAnsi="仿宋" w:eastAsia="仿宋" w:cs="仿宋"/>
          <w:sz w:val="32"/>
          <w:szCs w:val="32"/>
          <w:lang w:val="en-US" w:eastAsia="zh-CN"/>
        </w:rPr>
        <w:t>5.50</w:t>
      </w:r>
      <w:r>
        <w:rPr>
          <w:rFonts w:hint="eastAsia" w:ascii="仿宋" w:hAnsi="仿宋" w:eastAsia="仿宋" w:cs="仿宋"/>
          <w:sz w:val="32"/>
          <w:szCs w:val="32"/>
        </w:rPr>
        <w:t>万元，占</w:t>
      </w:r>
      <w:r>
        <w:rPr>
          <w:rFonts w:hint="eastAsia" w:ascii="仿宋" w:hAnsi="仿宋" w:eastAsia="仿宋" w:cs="仿宋"/>
          <w:sz w:val="32"/>
          <w:szCs w:val="32"/>
          <w:lang w:val="en-US" w:eastAsia="zh-CN"/>
        </w:rPr>
        <w:t>13.4</w:t>
      </w:r>
      <w:r>
        <w:rPr>
          <w:rFonts w:hint="eastAsia" w:ascii="仿宋" w:hAnsi="仿宋" w:eastAsia="仿宋" w:cs="仿宋"/>
          <w:sz w:val="32"/>
          <w:szCs w:val="32"/>
        </w:rPr>
        <w:t>%,</w:t>
      </w:r>
      <w:r>
        <w:rPr>
          <w:rFonts w:hint="eastAsia" w:ascii="仿宋" w:hAnsi="仿宋" w:eastAsia="仿宋" w:cs="仿宋"/>
          <w:color w:val="000000" w:themeColor="text1"/>
          <w:sz w:val="32"/>
          <w:szCs w:val="32"/>
          <w:lang w:eastAsia="zh-CN"/>
        </w:rPr>
        <w:t>主要用于评标专家评审费及评标相关费用</w:t>
      </w:r>
      <w:r>
        <w:rPr>
          <w:rFonts w:hint="eastAsia" w:ascii="仿宋" w:hAnsi="仿宋" w:eastAsia="仿宋" w:cs="仿宋"/>
          <w:sz w:val="32"/>
          <w:szCs w:val="32"/>
        </w:rPr>
        <w:t>。</w:t>
      </w:r>
    </w:p>
    <w:p>
      <w:pPr>
        <w:pStyle w:val="12"/>
        <w:shd w:val="clear" w:color="auto" w:fill="auto"/>
        <w:tabs>
          <w:tab w:val="left" w:pos="1316"/>
        </w:tabs>
        <w:spacing w:after="0" w:line="360" w:lineRule="auto"/>
        <w:ind w:firstLine="763" w:firstLineChars="200"/>
        <w:jc w:val="both"/>
        <w:outlineLvl w:val="1"/>
        <w:rPr>
          <w:rFonts w:ascii="仿宋" w:hAnsi="仿宋" w:eastAsia="仿宋" w:cs="仿宋"/>
          <w:sz w:val="32"/>
          <w:szCs w:val="32"/>
        </w:rPr>
      </w:pPr>
      <w:r>
        <w:rPr>
          <w:rFonts w:hint="eastAsia" w:ascii="仿宋" w:hAnsi="仿宋" w:eastAsia="仿宋" w:cs="仿宋"/>
          <w:sz w:val="32"/>
          <w:szCs w:val="32"/>
        </w:rPr>
        <w:t>八、关于20</w:t>
      </w:r>
      <w:r>
        <w:rPr>
          <w:rFonts w:hint="eastAsia" w:ascii="仿宋" w:hAnsi="仿宋" w:eastAsia="仿宋" w:cs="仿宋"/>
          <w:sz w:val="32"/>
          <w:szCs w:val="32"/>
          <w:lang w:val="en-US" w:eastAsia="zh-CN"/>
        </w:rPr>
        <w:t>20</w:t>
      </w:r>
      <w:r>
        <w:rPr>
          <w:rFonts w:hint="eastAsia" w:ascii="仿宋" w:hAnsi="仿宋" w:eastAsia="仿宋" w:cs="仿宋"/>
          <w:sz w:val="32"/>
          <w:szCs w:val="32"/>
        </w:rPr>
        <w:t>年国有资本经营预算拨款情况说明</w:t>
      </w:r>
    </w:p>
    <w:p>
      <w:pPr>
        <w:pStyle w:val="14"/>
        <w:shd w:val="clear" w:color="auto" w:fill="auto"/>
        <w:spacing w:before="0" w:after="0" w:line="360" w:lineRule="auto"/>
        <w:ind w:firstLine="760" w:firstLineChars="200"/>
        <w:rPr>
          <w:rFonts w:hint="eastAsia" w:ascii="仿宋" w:hAnsi="仿宋" w:eastAsia="仿宋" w:cs="仿宋"/>
          <w:sz w:val="32"/>
          <w:szCs w:val="32"/>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年没有国有资本经营预算拨款收入，也没有使用国有资本经营预算拨款安排的支出。</w:t>
      </w:r>
    </w:p>
    <w:p>
      <w:pPr>
        <w:pStyle w:val="14"/>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0" w:after="0" w:line="360" w:lineRule="auto"/>
        <w:ind w:firstLine="763" w:firstLineChars="200"/>
        <w:textAlignment w:val="auto"/>
        <w:outlineLvl w:val="1"/>
        <w:rPr>
          <w:rFonts w:hint="eastAsia" w:ascii="仿宋" w:hAnsi="仿宋" w:eastAsia="仿宋" w:cs="仿宋"/>
          <w:b/>
          <w:bCs/>
          <w:sz w:val="32"/>
          <w:szCs w:val="32"/>
        </w:rPr>
      </w:pPr>
      <w:r>
        <w:rPr>
          <w:rFonts w:hint="eastAsia" w:ascii="仿宋" w:hAnsi="仿宋" w:eastAsia="仿宋" w:cs="仿宋"/>
          <w:b/>
          <w:bCs/>
          <w:sz w:val="32"/>
          <w:szCs w:val="32"/>
          <w:lang w:eastAsia="zh-CN"/>
        </w:rPr>
        <w:t>九、</w:t>
      </w:r>
      <w:r>
        <w:rPr>
          <w:rFonts w:hint="eastAsia" w:ascii="仿宋" w:hAnsi="仿宋" w:eastAsia="仿宋" w:cs="仿宋"/>
          <w:b/>
          <w:bCs/>
          <w:sz w:val="32"/>
          <w:szCs w:val="32"/>
          <w:lang w:val="en-US" w:eastAsia="zh-CN"/>
        </w:rPr>
        <w:t>批复绩效目标的项目及绩效目标设置情况说明</w:t>
      </w:r>
    </w:p>
    <w:p>
      <w:pPr>
        <w:pStyle w:val="14"/>
        <w:shd w:val="clear" w:color="auto" w:fill="auto"/>
        <w:spacing w:before="0" w:after="0" w:line="360" w:lineRule="auto"/>
        <w:ind w:firstLine="760" w:firstLineChars="200"/>
        <w:rPr>
          <w:rFonts w:hint="eastAsia" w:ascii="仿宋" w:hAnsi="仿宋" w:eastAsia="仿宋" w:cs="仿宋"/>
          <w:sz w:val="32"/>
          <w:szCs w:val="32"/>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年按照规定无设置绩效目标的项目。</w:t>
      </w:r>
    </w:p>
    <w:p>
      <w:pPr>
        <w:pStyle w:val="12"/>
        <w:numPr>
          <w:ilvl w:val="0"/>
          <w:numId w:val="0"/>
        </w:numPr>
        <w:shd w:val="clear" w:color="auto" w:fill="auto"/>
        <w:tabs>
          <w:tab w:val="left" w:pos="1316"/>
        </w:tabs>
        <w:spacing w:after="0" w:line="360" w:lineRule="auto"/>
        <w:ind w:firstLine="763" w:firstLineChars="200"/>
        <w:jc w:val="both"/>
        <w:outlineLvl w:val="1"/>
        <w:rPr>
          <w:rFonts w:ascii="仿宋" w:hAnsi="仿宋" w:eastAsia="仿宋" w:cs="仿宋"/>
          <w:sz w:val="32"/>
          <w:szCs w:val="32"/>
        </w:rPr>
      </w:pPr>
      <w:r>
        <w:rPr>
          <w:rFonts w:hint="eastAsia" w:ascii="仿宋" w:hAnsi="仿宋" w:eastAsia="仿宋" w:cs="仿宋"/>
          <w:sz w:val="32"/>
          <w:szCs w:val="32"/>
          <w:lang w:eastAsia="zh-CN"/>
        </w:rPr>
        <w:t>十、</w:t>
      </w:r>
      <w:r>
        <w:rPr>
          <w:rFonts w:hint="eastAsia" w:ascii="仿宋" w:hAnsi="仿宋" w:eastAsia="仿宋" w:cs="仿宋"/>
          <w:sz w:val="32"/>
          <w:szCs w:val="32"/>
        </w:rPr>
        <w:t>其他重要事项情况说明</w:t>
      </w:r>
    </w:p>
    <w:p>
      <w:pPr>
        <w:pStyle w:val="12"/>
        <w:shd w:val="clear" w:color="auto" w:fill="auto"/>
        <w:tabs>
          <w:tab w:val="left" w:pos="1673"/>
        </w:tabs>
        <w:spacing w:after="0" w:line="360" w:lineRule="auto"/>
        <w:ind w:firstLine="763" w:firstLineChars="200"/>
        <w:jc w:val="both"/>
        <w:outlineLvl w:val="2"/>
        <w:rPr>
          <w:rFonts w:ascii="仿宋" w:hAnsi="仿宋" w:eastAsia="仿宋" w:cs="仿宋"/>
          <w:sz w:val="32"/>
          <w:szCs w:val="32"/>
        </w:rPr>
      </w:pPr>
      <w:r>
        <w:rPr>
          <w:rFonts w:hint="eastAsia" w:ascii="仿宋" w:hAnsi="仿宋" w:eastAsia="仿宋" w:cs="仿宋"/>
          <w:sz w:val="32"/>
          <w:szCs w:val="32"/>
        </w:rPr>
        <w:t>（一）机关运行经费。</w:t>
      </w:r>
    </w:p>
    <w:p>
      <w:pPr>
        <w:pStyle w:val="14"/>
        <w:shd w:val="clear" w:color="auto" w:fill="auto"/>
        <w:spacing w:before="0" w:after="0" w:line="360" w:lineRule="auto"/>
        <w:ind w:firstLine="760" w:firstLineChars="200"/>
        <w:rPr>
          <w:rFonts w:ascii="仿宋" w:hAnsi="仿宋" w:eastAsia="仿宋" w:cs="仿宋"/>
          <w:sz w:val="32"/>
          <w:szCs w:val="32"/>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年机关运行经费财政拨款预算5.0万元，</w:t>
      </w:r>
      <w:r>
        <w:rPr>
          <w:rFonts w:hint="eastAsia" w:ascii="仿宋" w:hAnsi="仿宋" w:eastAsia="仿宋" w:cs="仿宋"/>
          <w:sz w:val="32"/>
          <w:szCs w:val="32"/>
          <w:lang w:eastAsia="zh-CN"/>
        </w:rPr>
        <w:t>比</w:t>
      </w:r>
      <w:r>
        <w:rPr>
          <w:rFonts w:hint="eastAsia" w:ascii="仿宋" w:hAnsi="仿宋" w:eastAsia="仿宋" w:cs="仿宋"/>
          <w:sz w:val="32"/>
          <w:szCs w:val="32"/>
          <w:lang w:val="en-US" w:eastAsia="zh-CN"/>
        </w:rPr>
        <w:t>2019年减少1.9万元，下降27.5％，下降的主要原因是坚持过紧日子，进一步减少办公用房水电费、日常运转办公费等日常运行支出</w:t>
      </w:r>
      <w:r>
        <w:rPr>
          <w:rFonts w:hint="eastAsia" w:ascii="仿宋" w:hAnsi="仿宋" w:eastAsia="仿宋" w:cs="仿宋"/>
          <w:sz w:val="32"/>
          <w:szCs w:val="32"/>
        </w:rPr>
        <w:t>。</w:t>
      </w:r>
    </w:p>
    <w:p>
      <w:pPr>
        <w:pStyle w:val="12"/>
        <w:shd w:val="clear" w:color="auto" w:fill="auto"/>
        <w:tabs>
          <w:tab w:val="left" w:pos="1673"/>
        </w:tabs>
        <w:spacing w:after="0" w:line="360" w:lineRule="auto"/>
        <w:ind w:firstLine="763" w:firstLineChars="200"/>
        <w:jc w:val="both"/>
        <w:outlineLvl w:val="2"/>
        <w:rPr>
          <w:rFonts w:ascii="仿宋" w:hAnsi="仿宋" w:eastAsia="仿宋" w:cs="仿宋"/>
          <w:sz w:val="32"/>
          <w:szCs w:val="32"/>
        </w:rPr>
      </w:pPr>
      <w:r>
        <w:rPr>
          <w:rFonts w:hint="eastAsia" w:ascii="仿宋" w:hAnsi="仿宋" w:eastAsia="仿宋" w:cs="仿宋"/>
          <w:sz w:val="32"/>
          <w:szCs w:val="32"/>
        </w:rPr>
        <w:t>（二）政府采购情况。</w:t>
      </w:r>
    </w:p>
    <w:p>
      <w:pPr>
        <w:pStyle w:val="14"/>
        <w:shd w:val="clear" w:color="auto" w:fill="auto"/>
        <w:spacing w:before="0" w:after="0" w:line="360" w:lineRule="auto"/>
        <w:ind w:firstLine="760" w:firstLineChars="20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年无政府采购</w:t>
      </w:r>
      <w:r>
        <w:rPr>
          <w:rFonts w:hint="eastAsia" w:ascii="仿宋" w:hAnsi="仿宋" w:eastAsia="仿宋" w:cs="仿宋"/>
          <w:sz w:val="32"/>
          <w:szCs w:val="32"/>
          <w:lang w:eastAsia="zh-CN"/>
        </w:rPr>
        <w:t>。</w:t>
      </w:r>
    </w:p>
    <w:p>
      <w:pPr>
        <w:pStyle w:val="14"/>
        <w:shd w:val="clear" w:color="auto" w:fill="auto"/>
        <w:spacing w:before="0" w:after="0" w:line="360" w:lineRule="auto"/>
        <w:ind w:firstLine="763" w:firstLineChars="200"/>
        <w:jc w:val="both"/>
        <w:outlineLvl w:val="2"/>
        <w:rPr>
          <w:rFonts w:hint="eastAsia" w:ascii="仿宋" w:hAnsi="仿宋" w:eastAsia="仿宋" w:cs="仿宋"/>
          <w:b/>
          <w:bCs/>
          <w:sz w:val="32"/>
          <w:szCs w:val="32"/>
          <w:lang w:eastAsia="zh-CN"/>
        </w:rPr>
      </w:pPr>
      <w:r>
        <w:rPr>
          <w:rFonts w:hint="eastAsia" w:ascii="仿宋" w:hAnsi="仿宋" w:eastAsia="仿宋" w:cs="仿宋"/>
          <w:b/>
          <w:bCs/>
          <w:sz w:val="32"/>
          <w:szCs w:val="32"/>
          <w:lang w:eastAsia="zh-CN"/>
        </w:rPr>
        <w:t>（三）政府购买服务情况。</w:t>
      </w:r>
    </w:p>
    <w:p>
      <w:pPr>
        <w:pStyle w:val="14"/>
        <w:shd w:val="clear" w:color="auto" w:fill="auto"/>
        <w:spacing w:before="0" w:after="0" w:line="360" w:lineRule="auto"/>
        <w:ind w:firstLine="760" w:firstLineChars="200"/>
        <w:jc w:val="both"/>
        <w:rPr>
          <w:rFonts w:hint="eastAsia" w:ascii="仿宋" w:hAnsi="仿宋" w:eastAsia="仿宋" w:cs="仿宋"/>
          <w:sz w:val="32"/>
          <w:szCs w:val="32"/>
          <w:lang w:eastAsia="zh-CN"/>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年无</w:t>
      </w:r>
      <w:r>
        <w:rPr>
          <w:rFonts w:hint="eastAsia" w:ascii="仿宋" w:hAnsi="仿宋" w:eastAsia="仿宋" w:cs="仿宋"/>
          <w:sz w:val="32"/>
          <w:szCs w:val="32"/>
          <w:lang w:eastAsia="zh-CN"/>
        </w:rPr>
        <w:t>政府购买服务。</w:t>
      </w:r>
    </w:p>
    <w:p>
      <w:pPr>
        <w:pStyle w:val="12"/>
        <w:shd w:val="clear" w:color="auto" w:fill="auto"/>
        <w:tabs>
          <w:tab w:val="left" w:pos="1673"/>
        </w:tabs>
        <w:spacing w:after="0" w:line="360" w:lineRule="auto"/>
        <w:ind w:firstLine="763" w:firstLineChars="200"/>
        <w:jc w:val="both"/>
        <w:outlineLvl w:val="2"/>
        <w:rPr>
          <w:rFonts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eastAsia="zh-CN"/>
        </w:rPr>
        <w:t>四</w:t>
      </w:r>
      <w:r>
        <w:rPr>
          <w:rFonts w:hint="eastAsia" w:ascii="仿宋" w:hAnsi="仿宋" w:eastAsia="仿宋" w:cs="仿宋"/>
          <w:sz w:val="32"/>
          <w:szCs w:val="32"/>
        </w:rPr>
        <w:t>）国有资产占用使用情况。</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lang w:eastAsia="zh-CN"/>
        </w:rPr>
        <w:t>公共资源交易服务中心</w:t>
      </w:r>
      <w:r>
        <w:rPr>
          <w:rFonts w:hint="eastAsia" w:ascii="仿宋" w:hAnsi="仿宋" w:eastAsia="仿宋" w:cs="仿宋"/>
          <w:sz w:val="32"/>
          <w:szCs w:val="32"/>
        </w:rPr>
        <w:t>有公务用车</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辆</w:t>
      </w:r>
      <w:r>
        <w:rPr>
          <w:rFonts w:hint="eastAsia" w:ascii="仿宋" w:hAnsi="仿宋" w:eastAsia="仿宋" w:cs="仿宋"/>
          <w:sz w:val="32"/>
          <w:szCs w:val="32"/>
        </w:rPr>
        <w:t>，单位价值50万元以上的通用设备单位</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价值100万元以上的专用设备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w:t>
      </w:r>
    </w:p>
    <w:p>
      <w:pPr>
        <w:pStyle w:val="14"/>
        <w:shd w:val="clear" w:color="auto" w:fill="auto"/>
        <w:spacing w:before="0" w:after="0" w:line="360" w:lineRule="auto"/>
        <w:ind w:firstLine="760" w:firstLineChars="200"/>
        <w:jc w:val="both"/>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年部门预算安排公务用车购置</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万元，购置公务用车</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辆</w:t>
      </w:r>
      <w:r>
        <w:rPr>
          <w:rFonts w:hint="eastAsia" w:ascii="仿宋" w:hAnsi="仿宋" w:eastAsia="仿宋" w:cs="仿宋"/>
          <w:sz w:val="32"/>
          <w:szCs w:val="32"/>
        </w:rPr>
        <w:t>，安排购置单位价值50万元以上的通用设备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个，安排购置</w:t>
      </w:r>
      <w:r>
        <w:rPr>
          <w:rFonts w:hint="eastAsia" w:ascii="仿宋" w:hAnsi="仿宋" w:eastAsia="仿宋" w:cs="仿宋"/>
          <w:sz w:val="32"/>
          <w:szCs w:val="32"/>
        </w:rPr>
        <w:t>单位价值100万元以上专用设备</w:t>
      </w:r>
      <w:r>
        <w:rPr>
          <w:rFonts w:hint="eastAsia" w:ascii="仿宋" w:hAnsi="仿宋" w:eastAsia="仿宋" w:cs="仿宋"/>
          <w:sz w:val="32"/>
          <w:szCs w:val="32"/>
          <w:lang w:val="en-US" w:eastAsia="zh-CN"/>
        </w:rPr>
        <w:t>0</w:t>
      </w:r>
      <w:r>
        <w:rPr>
          <w:rFonts w:hint="eastAsia" w:ascii="仿宋" w:hAnsi="仿宋" w:eastAsia="仿宋" w:cs="仿宋"/>
          <w:sz w:val="32"/>
          <w:szCs w:val="32"/>
          <w:lang w:val="en-US"/>
        </w:rPr>
        <w:t>个</w:t>
      </w:r>
      <w:r>
        <w:rPr>
          <w:rFonts w:hint="eastAsia" w:ascii="仿宋" w:hAnsi="仿宋" w:eastAsia="仿宋" w:cs="仿宋"/>
          <w:sz w:val="32"/>
          <w:szCs w:val="32"/>
        </w:rPr>
        <w:t>。</w:t>
      </w:r>
    </w:p>
    <w:p>
      <w:pPr>
        <w:pStyle w:val="18"/>
        <w:shd w:val="clear" w:color="auto" w:fill="auto"/>
        <w:spacing w:after="0" w:line="360" w:lineRule="auto"/>
        <w:ind w:firstLine="763" w:firstLineChars="200"/>
        <w:rPr>
          <w:rFonts w:hint="eastAsia" w:ascii="仿宋" w:hAnsi="仿宋" w:eastAsia="仿宋" w:cs="仿宋"/>
          <w:b/>
          <w:bCs/>
        </w:rPr>
      </w:pPr>
    </w:p>
    <w:p>
      <w:pPr>
        <w:pStyle w:val="18"/>
        <w:shd w:val="clear" w:color="auto" w:fill="auto"/>
        <w:spacing w:after="0" w:line="360" w:lineRule="auto"/>
        <w:ind w:firstLine="763" w:firstLineChars="200"/>
        <w:rPr>
          <w:rFonts w:hint="eastAsia" w:ascii="仿宋" w:hAnsi="仿宋" w:eastAsia="仿宋" w:cs="仿宋"/>
          <w:b/>
          <w:bCs/>
        </w:rPr>
      </w:pPr>
    </w:p>
    <w:p>
      <w:pPr>
        <w:pStyle w:val="18"/>
        <w:shd w:val="clear" w:color="auto" w:fill="auto"/>
        <w:spacing w:after="0" w:line="360" w:lineRule="auto"/>
        <w:ind w:firstLine="763" w:firstLineChars="200"/>
        <w:outlineLvl w:val="0"/>
        <w:rPr>
          <w:rFonts w:ascii="仿宋" w:hAnsi="仿宋" w:eastAsia="仿宋" w:cs="仿宋"/>
          <w:b/>
          <w:bCs/>
        </w:rPr>
      </w:pPr>
      <w:r>
        <w:rPr>
          <w:rFonts w:hint="eastAsia" w:ascii="仿宋" w:hAnsi="仿宋" w:eastAsia="仿宋" w:cs="仿宋"/>
          <w:b/>
          <w:bCs/>
        </w:rPr>
        <w:t>第三部分</w:t>
      </w:r>
      <w:r>
        <w:rPr>
          <w:rFonts w:hint="eastAsia" w:ascii="仿宋" w:hAnsi="仿宋" w:eastAsia="仿宋" w:cs="仿宋"/>
          <w:b/>
          <w:bCs/>
          <w:lang w:val="en-US"/>
        </w:rPr>
        <w:t xml:space="preserve"> </w:t>
      </w:r>
      <w:r>
        <w:rPr>
          <w:rFonts w:hint="eastAsia" w:ascii="仿宋" w:hAnsi="仿宋" w:eastAsia="仿宋" w:cs="仿宋"/>
          <w:b/>
          <w:bCs/>
        </w:rPr>
        <w:t>名词解释</w:t>
      </w:r>
    </w:p>
    <w:p>
      <w:pPr>
        <w:pStyle w:val="14"/>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6"/>
          <w:rFonts w:hint="eastAsia" w:ascii="仿宋" w:hAnsi="仿宋" w:eastAsia="仿宋" w:cs="仿宋"/>
          <w:sz w:val="32"/>
          <w:szCs w:val="32"/>
        </w:rPr>
        <w:t>一、财政拨款收入：</w:t>
      </w:r>
      <w:r>
        <w:rPr>
          <w:rFonts w:hint="eastAsia" w:ascii="仿宋" w:hAnsi="仿宋" w:eastAsia="仿宋" w:cs="仿宋"/>
          <w:sz w:val="32"/>
          <w:szCs w:val="32"/>
        </w:rPr>
        <w:t>指</w:t>
      </w:r>
      <w:r>
        <w:rPr>
          <w:rFonts w:hint="eastAsia" w:ascii="仿宋" w:hAnsi="仿宋" w:eastAsia="仿宋" w:cs="仿宋"/>
          <w:sz w:val="32"/>
          <w:szCs w:val="32"/>
          <w:lang w:eastAsia="zh-CN"/>
        </w:rPr>
        <w:t>县</w:t>
      </w:r>
      <w:r>
        <w:rPr>
          <w:rFonts w:hint="eastAsia" w:ascii="仿宋" w:hAnsi="仿宋" w:eastAsia="仿宋" w:cs="仿宋"/>
          <w:sz w:val="32"/>
          <w:szCs w:val="32"/>
        </w:rPr>
        <w:t>财政当年拨付的资金，主要包括一般公共预算拨款收入和政府性基金拨款收入。</w:t>
      </w:r>
    </w:p>
    <w:p>
      <w:pPr>
        <w:pStyle w:val="14"/>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6"/>
          <w:rFonts w:hint="eastAsia" w:ascii="仿宋" w:hAnsi="仿宋" w:eastAsia="仿宋" w:cs="仿宋"/>
          <w:sz w:val="32"/>
          <w:szCs w:val="32"/>
        </w:rPr>
        <w:t>二、基本支出：</w:t>
      </w:r>
      <w:r>
        <w:rPr>
          <w:rFonts w:hint="eastAsia" w:ascii="仿宋" w:hAnsi="仿宋" w:eastAsia="仿宋" w:cs="仿宋"/>
          <w:sz w:val="32"/>
          <w:szCs w:val="32"/>
        </w:rPr>
        <w:t>指为保障机构正常运转、完成日常工作任务而发生的人员支出和公用支出。</w:t>
      </w:r>
    </w:p>
    <w:p>
      <w:pPr>
        <w:pStyle w:val="14"/>
        <w:shd w:val="clear" w:color="auto" w:fill="auto"/>
        <w:tabs>
          <w:tab w:val="left" w:pos="1279"/>
        </w:tabs>
        <w:spacing w:before="0" w:after="0" w:line="360" w:lineRule="auto"/>
        <w:ind w:firstLine="763" w:firstLineChars="200"/>
        <w:jc w:val="both"/>
        <w:rPr>
          <w:rFonts w:ascii="仿宋" w:hAnsi="仿宋" w:eastAsia="仿宋" w:cs="仿宋"/>
          <w:sz w:val="32"/>
          <w:szCs w:val="32"/>
        </w:rPr>
      </w:pPr>
      <w:r>
        <w:rPr>
          <w:rStyle w:val="16"/>
          <w:rFonts w:hint="eastAsia" w:ascii="仿宋" w:hAnsi="仿宋" w:eastAsia="仿宋" w:cs="仿宋"/>
          <w:sz w:val="32"/>
          <w:szCs w:val="32"/>
        </w:rPr>
        <w:t>三、项目支出：</w:t>
      </w:r>
      <w:r>
        <w:rPr>
          <w:rFonts w:hint="eastAsia" w:ascii="仿宋" w:hAnsi="仿宋" w:eastAsia="仿宋" w:cs="仿宋"/>
          <w:sz w:val="32"/>
          <w:szCs w:val="32"/>
        </w:rPr>
        <w:t>指在基本支出之外为完成特定行政任务和事业发展目标所发生的支出。</w:t>
      </w:r>
    </w:p>
    <w:p>
      <w:pPr>
        <w:pStyle w:val="14"/>
        <w:shd w:val="clear" w:color="auto" w:fill="auto"/>
        <w:tabs>
          <w:tab w:val="left" w:pos="1280"/>
        </w:tabs>
        <w:spacing w:before="0" w:after="0" w:line="360" w:lineRule="auto"/>
        <w:ind w:firstLine="763" w:firstLineChars="200"/>
        <w:jc w:val="both"/>
        <w:rPr>
          <w:rFonts w:hint="eastAsia" w:ascii="仿宋" w:hAnsi="仿宋" w:eastAsia="仿宋" w:cs="仿宋"/>
          <w:sz w:val="32"/>
          <w:szCs w:val="32"/>
        </w:rPr>
      </w:pPr>
      <w:r>
        <w:rPr>
          <w:rStyle w:val="16"/>
          <w:rFonts w:hint="eastAsia" w:ascii="仿宋" w:hAnsi="仿宋" w:eastAsia="仿宋" w:cs="仿宋"/>
          <w:sz w:val="32"/>
          <w:szCs w:val="32"/>
        </w:rPr>
        <w:t>四、机关运行经费：</w:t>
      </w:r>
      <w:r>
        <w:rPr>
          <w:rFonts w:hint="eastAsia" w:ascii="仿宋" w:hAnsi="仿宋" w:eastAsia="仿宋" w:cs="仿宋"/>
          <w:sz w:val="32"/>
          <w:szCs w:val="32"/>
        </w:rPr>
        <w:t>指各部门的公用经费，包括办公及印刷费、邮电费、差旅费、会议费</w:t>
      </w:r>
      <w:r>
        <w:rPr>
          <w:rFonts w:hint="eastAsia" w:ascii="仿宋" w:hAnsi="仿宋" w:eastAsia="仿宋" w:cs="仿宋"/>
          <w:sz w:val="32"/>
          <w:szCs w:val="32"/>
          <w:lang w:eastAsia="zh-CN"/>
        </w:rPr>
        <w:t>、</w:t>
      </w:r>
      <w:r>
        <w:rPr>
          <w:rFonts w:hint="eastAsia" w:ascii="仿宋" w:hAnsi="仿宋" w:eastAsia="仿宋" w:cs="仿宋"/>
          <w:sz w:val="32"/>
          <w:szCs w:val="32"/>
        </w:rPr>
        <w:t>福利费、日常维修费、专用材料及一般设备购置费</w:t>
      </w:r>
      <w:r>
        <w:rPr>
          <w:rFonts w:hint="eastAsia" w:ascii="仿宋" w:hAnsi="仿宋" w:eastAsia="仿宋" w:cs="仿宋"/>
          <w:sz w:val="32"/>
          <w:szCs w:val="32"/>
          <w:lang w:eastAsia="zh-CN"/>
        </w:rPr>
        <w:t>、</w:t>
      </w:r>
      <w:r>
        <w:rPr>
          <w:rFonts w:hint="eastAsia" w:ascii="仿宋" w:hAnsi="仿宋" w:eastAsia="仿宋" w:cs="仿宋"/>
          <w:sz w:val="32"/>
          <w:szCs w:val="32"/>
        </w:rPr>
        <w:t>办公用房水电费、办公用房取暖费、办公用房物业管理费、公务用车运行维护费以及其他费用。</w:t>
      </w:r>
    </w:p>
    <w:p>
      <w:pPr>
        <w:pStyle w:val="12"/>
        <w:shd w:val="clear" w:color="auto" w:fill="auto"/>
        <w:spacing w:after="0" w:line="538" w:lineRule="exact"/>
        <w:jc w:val="center"/>
        <w:outlineLvl w:val="0"/>
        <w:rPr>
          <w:rFonts w:ascii="仿宋" w:hAnsi="仿宋" w:eastAsia="仿宋" w:cs="仿宋"/>
          <w:sz w:val="32"/>
          <w:szCs w:val="32"/>
        </w:rPr>
      </w:pPr>
      <w:r>
        <w:rPr>
          <w:rFonts w:hint="eastAsia" w:ascii="仿宋" w:hAnsi="仿宋" w:eastAsia="仿宋" w:cs="仿宋"/>
          <w:sz w:val="32"/>
          <w:szCs w:val="32"/>
        </w:rPr>
        <w:t>第四部分</w:t>
      </w:r>
      <w:r>
        <w:rPr>
          <w:rFonts w:hint="eastAsia" w:ascii="仿宋" w:hAnsi="仿宋" w:eastAsia="仿宋" w:cs="仿宋"/>
          <w:sz w:val="32"/>
          <w:szCs w:val="32"/>
          <w:lang w:val="en-US"/>
        </w:rPr>
        <w:t xml:space="preserve"> </w:t>
      </w: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年部门预算表（附表）</w:t>
      </w:r>
    </w:p>
    <w:p>
      <w:pPr>
        <w:pStyle w:val="14"/>
        <w:numPr>
          <w:ilvl w:val="0"/>
          <w:numId w:val="3"/>
        </w:numPr>
        <w:shd w:val="clear" w:color="auto" w:fill="auto"/>
        <w:tabs>
          <w:tab w:val="left" w:pos="38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年部门财政拨款收支预算总表</w:t>
      </w:r>
    </w:p>
    <w:p>
      <w:pPr>
        <w:pStyle w:val="14"/>
        <w:numPr>
          <w:ilvl w:val="0"/>
          <w:numId w:val="3"/>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年部门一般公共预算支出预算表</w:t>
      </w:r>
    </w:p>
    <w:p>
      <w:pPr>
        <w:pStyle w:val="14"/>
        <w:numPr>
          <w:ilvl w:val="0"/>
          <w:numId w:val="3"/>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年部门一般公共预算基本支出预算表</w:t>
      </w:r>
    </w:p>
    <w:p>
      <w:pPr>
        <w:pStyle w:val="14"/>
        <w:numPr>
          <w:ilvl w:val="0"/>
          <w:numId w:val="3"/>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年部门政府性基金预算支出预算表</w:t>
      </w:r>
    </w:p>
    <w:p>
      <w:pPr>
        <w:pStyle w:val="14"/>
        <w:numPr>
          <w:ilvl w:val="0"/>
          <w:numId w:val="3"/>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年部门收支预算总表</w:t>
      </w:r>
    </w:p>
    <w:p>
      <w:pPr>
        <w:pStyle w:val="14"/>
        <w:numPr>
          <w:ilvl w:val="0"/>
          <w:numId w:val="3"/>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年部门收入预算总表</w:t>
      </w:r>
    </w:p>
    <w:p>
      <w:pPr>
        <w:pStyle w:val="14"/>
        <w:numPr>
          <w:ilvl w:val="0"/>
          <w:numId w:val="3"/>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rPr>
        <w:t>20</w:t>
      </w:r>
      <w:r>
        <w:rPr>
          <w:rFonts w:hint="eastAsia" w:ascii="仿宋" w:hAnsi="仿宋" w:eastAsia="仿宋" w:cs="仿宋"/>
          <w:sz w:val="32"/>
          <w:szCs w:val="32"/>
          <w:lang w:val="en-US" w:eastAsia="zh-CN"/>
        </w:rPr>
        <w:t>20</w:t>
      </w:r>
      <w:r>
        <w:rPr>
          <w:rFonts w:hint="eastAsia" w:ascii="仿宋" w:hAnsi="仿宋" w:eastAsia="仿宋" w:cs="仿宋"/>
          <w:sz w:val="32"/>
          <w:szCs w:val="32"/>
        </w:rPr>
        <w:t>年部门支出预算总表</w:t>
      </w:r>
    </w:p>
    <w:p>
      <w:pPr>
        <w:pStyle w:val="14"/>
        <w:numPr>
          <w:ilvl w:val="0"/>
          <w:numId w:val="3"/>
        </w:numPr>
        <w:shd w:val="clear" w:color="auto" w:fill="auto"/>
        <w:tabs>
          <w:tab w:val="left" w:pos="411"/>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年部门</w:t>
      </w:r>
      <w:r>
        <w:rPr>
          <w:rFonts w:hint="eastAsia" w:ascii="仿宋" w:hAnsi="仿宋" w:eastAsia="仿宋" w:cs="仿宋"/>
          <w:sz w:val="32"/>
          <w:szCs w:val="32"/>
        </w:rPr>
        <w:t>国有资本经营预算支出预算表</w:t>
      </w:r>
    </w:p>
    <w:p>
      <w:pPr>
        <w:pStyle w:val="14"/>
        <w:numPr>
          <w:ilvl w:val="0"/>
          <w:numId w:val="3"/>
        </w:numPr>
        <w:shd w:val="clear" w:color="auto" w:fill="auto"/>
        <w:tabs>
          <w:tab w:val="left" w:pos="392"/>
        </w:tabs>
        <w:spacing w:before="0" w:after="0" w:line="538" w:lineRule="exact"/>
        <w:ind w:left="0" w:leftChars="0" w:firstLine="0" w:firstLineChars="0"/>
        <w:rPr>
          <w:rFonts w:ascii="仿宋" w:hAnsi="仿宋" w:eastAsia="仿宋" w:cs="仿宋"/>
          <w:sz w:val="32"/>
          <w:szCs w:val="32"/>
        </w:rPr>
      </w:pPr>
      <w:r>
        <w:rPr>
          <w:rFonts w:hint="eastAsia" w:ascii="仿宋" w:hAnsi="仿宋" w:eastAsia="仿宋" w:cs="仿宋"/>
          <w:sz w:val="32"/>
          <w:szCs w:val="32"/>
          <w:lang w:val="en-US"/>
        </w:rPr>
        <w:t>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年部门政府采购预算表</w:t>
      </w:r>
    </w:p>
    <w:p>
      <w:pPr>
        <w:pStyle w:val="14"/>
        <w:keepNext w:val="0"/>
        <w:keepLines w:val="0"/>
        <w:pageBreakBefore w:val="0"/>
        <w:widowControl w:val="0"/>
        <w:shd w:val="clear" w:color="auto" w:fill="auto"/>
        <w:tabs>
          <w:tab w:val="left" w:pos="1280"/>
        </w:tabs>
        <w:kinsoku/>
        <w:wordWrap/>
        <w:overflowPunct/>
        <w:topLinePunct w:val="0"/>
        <w:autoSpaceDE/>
        <w:autoSpaceDN/>
        <w:bidi w:val="0"/>
        <w:adjustRightInd/>
        <w:snapToGrid/>
        <w:spacing w:before="0" w:after="0" w:line="538" w:lineRule="exact"/>
        <w:jc w:val="both"/>
        <w:textAlignment w:val="auto"/>
        <w:rPr>
          <w:rFonts w:hint="eastAsia" w:ascii="仿宋" w:hAnsi="仿宋" w:eastAsia="仿宋" w:cs="仿宋"/>
          <w:sz w:val="32"/>
          <w:szCs w:val="32"/>
        </w:rPr>
      </w:pPr>
      <w:r>
        <w:rPr>
          <w:rFonts w:hint="eastAsia" w:ascii="仿宋" w:hAnsi="仿宋" w:eastAsia="仿宋" w:cs="仿宋"/>
          <w:sz w:val="32"/>
          <w:szCs w:val="32"/>
          <w:lang w:val="en-US"/>
        </w:rPr>
        <w:t>10.20</w:t>
      </w:r>
      <w:r>
        <w:rPr>
          <w:rFonts w:hint="eastAsia" w:ascii="仿宋" w:hAnsi="仿宋" w:eastAsia="仿宋" w:cs="仿宋"/>
          <w:sz w:val="32"/>
          <w:szCs w:val="32"/>
          <w:lang w:val="en-US" w:eastAsia="zh-CN"/>
        </w:rPr>
        <w:t>20</w:t>
      </w:r>
      <w:r>
        <w:rPr>
          <w:rFonts w:hint="eastAsia" w:ascii="仿宋" w:hAnsi="仿宋" w:eastAsia="仿宋" w:cs="仿宋"/>
          <w:sz w:val="32"/>
          <w:szCs w:val="32"/>
          <w:lang w:val="en-US"/>
        </w:rPr>
        <w:t>年政府购买服务预算表</w:t>
      </w:r>
    </w:p>
    <w:sectPr>
      <w:headerReference r:id="rId5" w:type="default"/>
      <w:footerReference r:id="rId6" w:type="default"/>
      <w:footerReference r:id="rId7" w:type="even"/>
      <w:pgSz w:w="11900" w:h="16840"/>
      <w:pgMar w:top="1586" w:right="1237" w:bottom="1616" w:left="1198" w:header="0" w:footer="3"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PMingLiU">
    <w:panose1 w:val="02020500000000000000"/>
    <w:charset w:val="88"/>
    <w:family w:val="roman"/>
    <w:pitch w:val="default"/>
    <w:sig w:usb0="A00002FF" w:usb1="28CFFCFA" w:usb2="00000016" w:usb3="00000000" w:csb0="0010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pict>
        <v:shape id="_x0000_s3073" o:spid="_x0000_s3073" o:spt="202" type="#_x0000_t202" style="position:absolute;left:0pt;margin-left:288.75pt;margin-top:780.6pt;height:6.25pt;width:7.45pt;mso-position-horizontal-relative:page;mso-position-vertical-relative:page;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2"/>
                  <w:shd w:val="clear" w:color="auto" w:fill="auto"/>
                  <w:spacing w:line="240" w:lineRule="auto"/>
                </w:pPr>
                <w:r>
                  <w:fldChar w:fldCharType="begin"/>
                </w:r>
                <w:r>
                  <w:instrText xml:space="preserve"> PAGE \* MERGEFORMAT </w:instrText>
                </w:r>
                <w:r>
                  <w:fldChar w:fldCharType="separate"/>
                </w:r>
                <w:r>
                  <w:rPr>
                    <w:rStyle w:val="24"/>
                    <w:rFonts w:eastAsia="PMingLiU"/>
                  </w:rPr>
                  <w:t>7</w:t>
                </w:r>
                <w:r>
                  <w:rPr>
                    <w:rStyle w:val="24"/>
                    <w:rFonts w:eastAsia="PMingLiU"/>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rPr>
        <w:sz w:val="2"/>
        <w:szCs w:val="2"/>
      </w:rPr>
    </w:pPr>
    <w:r>
      <w:pict>
        <v:shape id="_x0000_s3074" o:spid="_x0000_s3074" o:spt="202" type="#_x0000_t202" style="position:absolute;left:0pt;margin-left:288.75pt;margin-top:780.6pt;height:6.25pt;width:7.45pt;mso-position-horizontal-relative:page;mso-position-vertical-relative:page;mso-wrap-style:none;z-index:-251658240;mso-width-relative:page;mso-height-relative:page;" filled="f" stroked="f" coordsize="21600,21600">
          <v:path/>
          <v:fill on="f" focussize="0,0"/>
          <v:stroke on="f" joinstyle="miter"/>
          <v:imagedata o:title=""/>
          <o:lock v:ext="edit"/>
          <v:textbox inset="0mm,0mm,0mm,0mm" style="mso-fit-shape-to-text:t;">
            <w:txbxContent>
              <w:p>
                <w:pPr>
                  <w:pStyle w:val="22"/>
                  <w:shd w:val="clear" w:color="auto" w:fill="auto"/>
                  <w:spacing w:line="240" w:lineRule="auto"/>
                </w:pPr>
                <w:r>
                  <w:fldChar w:fldCharType="begin"/>
                </w:r>
                <w:r>
                  <w:instrText xml:space="preserve"> PAGE \* MERGEFORMAT </w:instrText>
                </w:r>
                <w:r>
                  <w:fldChar w:fldCharType="separate"/>
                </w:r>
                <w:r>
                  <w:rPr>
                    <w:rStyle w:val="24"/>
                    <w:rFonts w:eastAsia="PMingLiU"/>
                  </w:rPr>
                  <w:t>8</w:t>
                </w:r>
                <w:r>
                  <w:rPr>
                    <w:rStyle w:val="24"/>
                    <w:rFonts w:eastAsia="PMingLiU"/>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1E84A9"/>
    <w:multiLevelType w:val="singleLevel"/>
    <w:tmpl w:val="AB1E84A9"/>
    <w:lvl w:ilvl="0" w:tentative="0">
      <w:start w:val="1"/>
      <w:numFmt w:val="decimal"/>
      <w:suff w:val="nothing"/>
      <w:lvlText w:val="%1．"/>
      <w:lvlJc w:val="left"/>
      <w:pPr>
        <w:ind w:left="0" w:firstLine="400"/>
      </w:pPr>
      <w:rPr>
        <w:rFonts w:hint="default"/>
      </w:rPr>
    </w:lvl>
  </w:abstractNum>
  <w:abstractNum w:abstractNumId="1">
    <w:nsid w:val="CF092B84"/>
    <w:multiLevelType w:val="singleLevel"/>
    <w:tmpl w:val="CF092B84"/>
    <w:lvl w:ilvl="0" w:tentative="0">
      <w:start w:val="1"/>
      <w:numFmt w:val="decimal"/>
      <w:lvlText w:val="%1."/>
      <w:lvlJc w:val="left"/>
      <w:rPr>
        <w:rFonts w:ascii="PMingLiU" w:hAnsi="PMingLiU" w:eastAsia="PMingLiU" w:cs="PMingLiU"/>
        <w:b w:val="0"/>
        <w:bCs w:val="0"/>
        <w:i w:val="0"/>
        <w:iCs w:val="0"/>
        <w:smallCaps w:val="0"/>
        <w:strike w:val="0"/>
        <w:color w:val="000000"/>
        <w:spacing w:val="30"/>
        <w:w w:val="100"/>
        <w:position w:val="0"/>
        <w:sz w:val="30"/>
        <w:szCs w:val="30"/>
        <w:u w:val="none"/>
        <w:lang w:val="en-US" w:eastAsia="en-US" w:bidi="en-US"/>
      </w:rPr>
    </w:lvl>
  </w:abstractNum>
  <w:abstractNum w:abstractNumId="2">
    <w:nsid w:val="0053208E"/>
    <w:multiLevelType w:val="singleLevel"/>
    <w:tmpl w:val="0053208E"/>
    <w:lvl w:ilvl="0" w:tentative="0">
      <w:start w:val="1"/>
      <w:numFmt w:val="decimal"/>
      <w:lvlText w:val="%1."/>
      <w:lvlJc w:val="left"/>
      <w:rPr>
        <w:rFonts w:ascii="PMingLiU" w:hAnsi="PMingLiU" w:eastAsia="PMingLiU" w:cs="PMingLiU"/>
        <w:b w:val="0"/>
        <w:bCs w:val="0"/>
        <w:i w:val="0"/>
        <w:iCs w:val="0"/>
        <w:smallCaps w:val="0"/>
        <w:strike w:val="0"/>
        <w:color w:val="000000"/>
        <w:spacing w:val="30"/>
        <w:w w:val="100"/>
        <w:position w:val="0"/>
        <w:sz w:val="30"/>
        <w:szCs w:val="30"/>
        <w:u w:val="none"/>
        <w:lang w:val="en-US" w:eastAsia="en-US" w:bidi="en-U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evenAndOddHeaders w:val="1"/>
  <w:drawingGridHorizontalSpacing w:val="181"/>
  <w:drawingGridVerticalSpacing w:val="181"/>
  <w:displayHorizontalDrawingGridEvery w:val="1"/>
  <w:displayVerticalDrawingGridEvery w:val="1"/>
  <w:noPunctuationKerning w:val="1"/>
  <w:characterSpacingControl w:val="compressPunctuation"/>
  <w:hdrShapeDefaults>
    <o:shapelayout v:ext="edit">
      <o:idmap v:ext="edit" data="3"/>
    </o:shapelayout>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33577B"/>
    <w:rsid w:val="00265585"/>
    <w:rsid w:val="002F2597"/>
    <w:rsid w:val="0033577B"/>
    <w:rsid w:val="004F768F"/>
    <w:rsid w:val="00641A63"/>
    <w:rsid w:val="0067705F"/>
    <w:rsid w:val="006B33A9"/>
    <w:rsid w:val="00C25BEF"/>
    <w:rsid w:val="00D6440E"/>
    <w:rsid w:val="00DA621A"/>
    <w:rsid w:val="00FB3496"/>
    <w:rsid w:val="02431E11"/>
    <w:rsid w:val="043E2F4A"/>
    <w:rsid w:val="06C40D6D"/>
    <w:rsid w:val="074910A2"/>
    <w:rsid w:val="0785427E"/>
    <w:rsid w:val="0D1A45DD"/>
    <w:rsid w:val="0D8574D2"/>
    <w:rsid w:val="117F43E0"/>
    <w:rsid w:val="13E32373"/>
    <w:rsid w:val="14D80FC1"/>
    <w:rsid w:val="14F04E9F"/>
    <w:rsid w:val="15891FA2"/>
    <w:rsid w:val="1C8D24DC"/>
    <w:rsid w:val="1D1263C7"/>
    <w:rsid w:val="1D4A2712"/>
    <w:rsid w:val="1DDE2AFD"/>
    <w:rsid w:val="1F2D795C"/>
    <w:rsid w:val="2075217B"/>
    <w:rsid w:val="21071CD9"/>
    <w:rsid w:val="237B0B78"/>
    <w:rsid w:val="24187DF0"/>
    <w:rsid w:val="24E877DF"/>
    <w:rsid w:val="250E3D3B"/>
    <w:rsid w:val="257D20A0"/>
    <w:rsid w:val="265042E5"/>
    <w:rsid w:val="276B45D1"/>
    <w:rsid w:val="28265DC8"/>
    <w:rsid w:val="283233E6"/>
    <w:rsid w:val="299D31EA"/>
    <w:rsid w:val="2C7C38A6"/>
    <w:rsid w:val="2EDA3662"/>
    <w:rsid w:val="2F142897"/>
    <w:rsid w:val="2F3D0F23"/>
    <w:rsid w:val="2F571061"/>
    <w:rsid w:val="2FC8303B"/>
    <w:rsid w:val="332C6584"/>
    <w:rsid w:val="36344243"/>
    <w:rsid w:val="36F23E90"/>
    <w:rsid w:val="3C597A01"/>
    <w:rsid w:val="3D7A4687"/>
    <w:rsid w:val="3D81035B"/>
    <w:rsid w:val="3EA87366"/>
    <w:rsid w:val="405B5988"/>
    <w:rsid w:val="430000D7"/>
    <w:rsid w:val="460354CB"/>
    <w:rsid w:val="4736514A"/>
    <w:rsid w:val="48105303"/>
    <w:rsid w:val="48820020"/>
    <w:rsid w:val="4A522EBB"/>
    <w:rsid w:val="4A972C95"/>
    <w:rsid w:val="4AA81C1E"/>
    <w:rsid w:val="4AC75B2F"/>
    <w:rsid w:val="4B894EB0"/>
    <w:rsid w:val="4BFC7BF4"/>
    <w:rsid w:val="4E24045A"/>
    <w:rsid w:val="4E935B51"/>
    <w:rsid w:val="50E907FF"/>
    <w:rsid w:val="5AEC5011"/>
    <w:rsid w:val="5BCE528C"/>
    <w:rsid w:val="5D3C75DA"/>
    <w:rsid w:val="5E38350A"/>
    <w:rsid w:val="5F5F57D3"/>
    <w:rsid w:val="62A45082"/>
    <w:rsid w:val="6368771C"/>
    <w:rsid w:val="654158D2"/>
    <w:rsid w:val="66795D12"/>
    <w:rsid w:val="673D6FD7"/>
    <w:rsid w:val="683E7346"/>
    <w:rsid w:val="6A6261E0"/>
    <w:rsid w:val="6C890CDF"/>
    <w:rsid w:val="6EC55030"/>
    <w:rsid w:val="6FA1255B"/>
    <w:rsid w:val="6FD11095"/>
    <w:rsid w:val="790C25DF"/>
    <w:rsid w:val="79C53304"/>
    <w:rsid w:val="7AB86BD0"/>
    <w:rsid w:val="7CF14BAA"/>
    <w:rsid w:val="7D8D0811"/>
    <w:rsid w:val="7F583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pPr>
    <w:rPr>
      <w:rFonts w:ascii="Times New Roman" w:hAnsi="Times New Roman" w:eastAsia="Times New Roman" w:cs="Times New Roman"/>
      <w:color w:val="000000"/>
      <w:sz w:val="24"/>
      <w:szCs w:val="24"/>
      <w:lang w:val="zh-CN" w:eastAsia="zh-CN" w:bidi="zh-CN"/>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rPr>
      <w:sz w:val="24"/>
    </w:rPr>
  </w:style>
  <w:style w:type="character" w:customStyle="1" w:styleId="5">
    <w:name w:val="Body text|3_"/>
    <w:basedOn w:val="4"/>
    <w:link w:val="6"/>
    <w:qFormat/>
    <w:uiPriority w:val="0"/>
    <w:rPr>
      <w:rFonts w:ascii="PMingLiU" w:hAnsi="PMingLiU" w:eastAsia="PMingLiU" w:cs="PMingLiU"/>
      <w:sz w:val="52"/>
      <w:szCs w:val="52"/>
      <w:u w:val="none"/>
    </w:rPr>
  </w:style>
  <w:style w:type="paragraph" w:customStyle="1" w:styleId="6">
    <w:name w:val="Body text|3"/>
    <w:basedOn w:val="1"/>
    <w:link w:val="5"/>
    <w:qFormat/>
    <w:uiPriority w:val="0"/>
    <w:pPr>
      <w:shd w:val="clear" w:color="auto" w:fill="FFFFFF"/>
      <w:spacing w:after="5400" w:line="1133" w:lineRule="exact"/>
      <w:jc w:val="center"/>
    </w:pPr>
    <w:rPr>
      <w:rFonts w:ascii="PMingLiU" w:hAnsi="PMingLiU" w:eastAsia="PMingLiU" w:cs="PMingLiU"/>
      <w:sz w:val="52"/>
      <w:szCs w:val="52"/>
    </w:rPr>
  </w:style>
  <w:style w:type="character" w:customStyle="1" w:styleId="7">
    <w:name w:val="Body text|3 + Times New Roman"/>
    <w:basedOn w:val="5"/>
    <w:semiHidden/>
    <w:unhideWhenUsed/>
    <w:qFormat/>
    <w:uiPriority w:val="0"/>
    <w:rPr>
      <w:rFonts w:ascii="Times New Roman" w:hAnsi="Times New Roman" w:eastAsia="Times New Roman" w:cs="Times New Roman"/>
      <w:b/>
      <w:bCs/>
      <w:color w:val="000000"/>
      <w:spacing w:val="0"/>
      <w:w w:val="100"/>
      <w:position w:val="0"/>
      <w:sz w:val="54"/>
      <w:szCs w:val="54"/>
      <w:u w:val="none"/>
      <w:lang w:val="zh-CN" w:eastAsia="zh-CN" w:bidi="zh-CN"/>
    </w:rPr>
  </w:style>
  <w:style w:type="character" w:customStyle="1" w:styleId="8">
    <w:name w:val="Body text|4_"/>
    <w:basedOn w:val="4"/>
    <w:link w:val="9"/>
    <w:qFormat/>
    <w:uiPriority w:val="0"/>
    <w:rPr>
      <w:rFonts w:ascii="PMingLiU" w:hAnsi="PMingLiU" w:eastAsia="PMingLiU" w:cs="PMingLiU"/>
      <w:sz w:val="36"/>
      <w:szCs w:val="36"/>
      <w:u w:val="none"/>
    </w:rPr>
  </w:style>
  <w:style w:type="paragraph" w:customStyle="1" w:styleId="9">
    <w:name w:val="Body text|4"/>
    <w:basedOn w:val="1"/>
    <w:link w:val="8"/>
    <w:qFormat/>
    <w:uiPriority w:val="0"/>
    <w:pPr>
      <w:shd w:val="clear" w:color="auto" w:fill="FFFFFF"/>
      <w:spacing w:before="5400" w:line="360" w:lineRule="exact"/>
    </w:pPr>
    <w:rPr>
      <w:rFonts w:ascii="PMingLiU" w:hAnsi="PMingLiU" w:eastAsia="PMingLiU" w:cs="PMingLiU"/>
      <w:sz w:val="36"/>
      <w:szCs w:val="36"/>
    </w:rPr>
  </w:style>
  <w:style w:type="character" w:customStyle="1" w:styleId="10">
    <w:name w:val="Body text|4 + Spacing 4 pt"/>
    <w:basedOn w:val="8"/>
    <w:semiHidden/>
    <w:unhideWhenUsed/>
    <w:qFormat/>
    <w:uiPriority w:val="0"/>
    <w:rPr>
      <w:rFonts w:ascii="PMingLiU" w:hAnsi="PMingLiU" w:eastAsia="PMingLiU" w:cs="PMingLiU"/>
      <w:color w:val="000000"/>
      <w:spacing w:val="80"/>
      <w:w w:val="100"/>
      <w:position w:val="0"/>
      <w:sz w:val="36"/>
      <w:szCs w:val="36"/>
      <w:u w:val="none"/>
      <w:lang w:val="zh-CN" w:eastAsia="zh-CN" w:bidi="zh-CN"/>
    </w:rPr>
  </w:style>
  <w:style w:type="character" w:customStyle="1" w:styleId="11">
    <w:name w:val="Body text|5_"/>
    <w:basedOn w:val="4"/>
    <w:link w:val="12"/>
    <w:qFormat/>
    <w:uiPriority w:val="0"/>
    <w:rPr>
      <w:rFonts w:ascii="PMingLiU" w:hAnsi="PMingLiU" w:eastAsia="PMingLiU" w:cs="PMingLiU"/>
      <w:b/>
      <w:bCs/>
      <w:spacing w:val="30"/>
      <w:sz w:val="30"/>
      <w:szCs w:val="30"/>
      <w:u w:val="none"/>
    </w:rPr>
  </w:style>
  <w:style w:type="paragraph" w:customStyle="1" w:styleId="12">
    <w:name w:val="Body text|5"/>
    <w:basedOn w:val="1"/>
    <w:link w:val="11"/>
    <w:qFormat/>
    <w:uiPriority w:val="0"/>
    <w:pPr>
      <w:shd w:val="clear" w:color="auto" w:fill="FFFFFF"/>
      <w:spacing w:after="220" w:line="300" w:lineRule="exact"/>
    </w:pPr>
    <w:rPr>
      <w:rFonts w:ascii="PMingLiU" w:hAnsi="PMingLiU" w:eastAsia="PMingLiU" w:cs="PMingLiU"/>
      <w:b/>
      <w:bCs/>
      <w:spacing w:val="30"/>
      <w:sz w:val="30"/>
      <w:szCs w:val="30"/>
    </w:rPr>
  </w:style>
  <w:style w:type="character" w:customStyle="1" w:styleId="13">
    <w:name w:val="Body text|2_"/>
    <w:basedOn w:val="4"/>
    <w:link w:val="14"/>
    <w:qFormat/>
    <w:uiPriority w:val="0"/>
    <w:rPr>
      <w:rFonts w:ascii="PMingLiU" w:hAnsi="PMingLiU" w:eastAsia="PMingLiU" w:cs="PMingLiU"/>
      <w:spacing w:val="30"/>
      <w:sz w:val="30"/>
      <w:szCs w:val="30"/>
      <w:u w:val="none"/>
    </w:rPr>
  </w:style>
  <w:style w:type="paragraph" w:customStyle="1" w:styleId="14">
    <w:name w:val="Body text|2"/>
    <w:basedOn w:val="1"/>
    <w:link w:val="13"/>
    <w:qFormat/>
    <w:uiPriority w:val="0"/>
    <w:pPr>
      <w:shd w:val="clear" w:color="auto" w:fill="FFFFFF"/>
      <w:spacing w:before="220" w:after="220" w:line="300" w:lineRule="exact"/>
    </w:pPr>
    <w:rPr>
      <w:rFonts w:ascii="PMingLiU" w:hAnsi="PMingLiU" w:eastAsia="PMingLiU" w:cs="PMingLiU"/>
      <w:spacing w:val="30"/>
      <w:sz w:val="30"/>
      <w:szCs w:val="30"/>
    </w:rPr>
  </w:style>
  <w:style w:type="character" w:customStyle="1" w:styleId="15">
    <w:name w:val="Body text|2 + Times New Roman"/>
    <w:basedOn w:val="13"/>
    <w:semiHidden/>
    <w:unhideWhenUsed/>
    <w:qFormat/>
    <w:uiPriority w:val="0"/>
    <w:rPr>
      <w:rFonts w:ascii="Times New Roman" w:hAnsi="Times New Roman" w:eastAsia="Times New Roman" w:cs="Times New Roman"/>
      <w:color w:val="000000"/>
      <w:spacing w:val="0"/>
      <w:w w:val="100"/>
      <w:position w:val="0"/>
      <w:sz w:val="34"/>
      <w:szCs w:val="34"/>
      <w:u w:val="none"/>
      <w:lang w:val="en-US" w:eastAsia="en-US" w:bidi="en-US"/>
    </w:rPr>
  </w:style>
  <w:style w:type="character" w:customStyle="1" w:styleId="16">
    <w:name w:val="Body text|2 + Bold"/>
    <w:basedOn w:val="13"/>
    <w:semiHidden/>
    <w:unhideWhenUsed/>
    <w:qFormat/>
    <w:uiPriority w:val="0"/>
    <w:rPr>
      <w:rFonts w:ascii="PMingLiU" w:hAnsi="PMingLiU" w:eastAsia="PMingLiU" w:cs="PMingLiU"/>
      <w:b/>
      <w:bCs/>
      <w:color w:val="000000"/>
      <w:spacing w:val="30"/>
      <w:w w:val="100"/>
      <w:position w:val="0"/>
      <w:sz w:val="30"/>
      <w:szCs w:val="30"/>
      <w:u w:val="none"/>
      <w:lang w:val="zh-CN" w:eastAsia="zh-CN" w:bidi="zh-CN"/>
    </w:rPr>
  </w:style>
  <w:style w:type="character" w:customStyle="1" w:styleId="17">
    <w:name w:val="Body text|6_"/>
    <w:basedOn w:val="4"/>
    <w:link w:val="18"/>
    <w:qFormat/>
    <w:uiPriority w:val="0"/>
    <w:rPr>
      <w:rFonts w:ascii="PMingLiU" w:hAnsi="PMingLiU" w:eastAsia="PMingLiU" w:cs="PMingLiU"/>
      <w:spacing w:val="30"/>
      <w:sz w:val="32"/>
      <w:szCs w:val="32"/>
      <w:u w:val="none"/>
    </w:rPr>
  </w:style>
  <w:style w:type="paragraph" w:customStyle="1" w:styleId="18">
    <w:name w:val="Body text|6"/>
    <w:basedOn w:val="1"/>
    <w:link w:val="17"/>
    <w:qFormat/>
    <w:uiPriority w:val="0"/>
    <w:pPr>
      <w:shd w:val="clear" w:color="auto" w:fill="FFFFFF"/>
      <w:spacing w:after="320" w:line="320" w:lineRule="exact"/>
      <w:jc w:val="center"/>
    </w:pPr>
    <w:rPr>
      <w:rFonts w:ascii="PMingLiU" w:hAnsi="PMingLiU" w:eastAsia="PMingLiU" w:cs="PMingLiU"/>
      <w:spacing w:val="30"/>
      <w:sz w:val="32"/>
      <w:szCs w:val="32"/>
    </w:rPr>
  </w:style>
  <w:style w:type="character" w:customStyle="1" w:styleId="19">
    <w:name w:val="Body text|2 + 12 pt"/>
    <w:basedOn w:val="13"/>
    <w:semiHidden/>
    <w:unhideWhenUsed/>
    <w:qFormat/>
    <w:uiPriority w:val="0"/>
    <w:rPr>
      <w:rFonts w:ascii="PMingLiU" w:hAnsi="PMingLiU" w:eastAsia="PMingLiU" w:cs="PMingLiU"/>
      <w:color w:val="000000"/>
      <w:spacing w:val="20"/>
      <w:w w:val="100"/>
      <w:position w:val="0"/>
      <w:sz w:val="24"/>
      <w:szCs w:val="24"/>
      <w:u w:val="none"/>
      <w:lang w:val="zh-CN" w:eastAsia="zh-CN" w:bidi="zh-CN"/>
    </w:rPr>
  </w:style>
  <w:style w:type="character" w:customStyle="1" w:styleId="20">
    <w:name w:val="Body text|6 + Times New Roman"/>
    <w:basedOn w:val="17"/>
    <w:semiHidden/>
    <w:unhideWhenUsed/>
    <w:qFormat/>
    <w:uiPriority w:val="0"/>
    <w:rPr>
      <w:rFonts w:ascii="Times New Roman" w:hAnsi="Times New Roman" w:eastAsia="Times New Roman" w:cs="Times New Roman"/>
      <w:color w:val="000000"/>
      <w:spacing w:val="0"/>
      <w:w w:val="100"/>
      <w:position w:val="0"/>
      <w:sz w:val="34"/>
      <w:szCs w:val="34"/>
      <w:u w:val="none"/>
      <w:lang w:val="zh-CN" w:eastAsia="zh-CN" w:bidi="zh-CN"/>
    </w:rPr>
  </w:style>
  <w:style w:type="character" w:customStyle="1" w:styleId="21">
    <w:name w:val="Header or footer|1_"/>
    <w:basedOn w:val="4"/>
    <w:link w:val="22"/>
    <w:qFormat/>
    <w:uiPriority w:val="0"/>
    <w:rPr>
      <w:rFonts w:ascii="PMingLiU" w:hAnsi="PMingLiU" w:eastAsia="PMingLiU" w:cs="PMingLiU"/>
      <w:spacing w:val="20"/>
      <w:sz w:val="19"/>
      <w:szCs w:val="19"/>
      <w:u w:val="none"/>
    </w:rPr>
  </w:style>
  <w:style w:type="paragraph" w:customStyle="1" w:styleId="22">
    <w:name w:val="Header or footer|11"/>
    <w:basedOn w:val="1"/>
    <w:link w:val="21"/>
    <w:qFormat/>
    <w:uiPriority w:val="0"/>
    <w:pPr>
      <w:shd w:val="clear" w:color="auto" w:fill="FFFFFF"/>
      <w:spacing w:line="190" w:lineRule="exact"/>
    </w:pPr>
    <w:rPr>
      <w:rFonts w:ascii="PMingLiU" w:hAnsi="PMingLiU" w:eastAsia="PMingLiU" w:cs="PMingLiU"/>
      <w:spacing w:val="20"/>
      <w:sz w:val="19"/>
      <w:szCs w:val="19"/>
    </w:rPr>
  </w:style>
  <w:style w:type="character" w:customStyle="1" w:styleId="23">
    <w:name w:val="Header or footer|1"/>
    <w:basedOn w:val="21"/>
    <w:semiHidden/>
    <w:unhideWhenUsed/>
    <w:qFormat/>
    <w:uiPriority w:val="0"/>
    <w:rPr>
      <w:rFonts w:ascii="PMingLiU" w:hAnsi="PMingLiU" w:eastAsia="PMingLiU" w:cs="PMingLiU"/>
      <w:color w:val="000000"/>
      <w:spacing w:val="20"/>
      <w:w w:val="100"/>
      <w:position w:val="0"/>
      <w:sz w:val="19"/>
      <w:szCs w:val="19"/>
      <w:u w:val="none"/>
      <w:lang w:val="zh-CN" w:eastAsia="zh-CN" w:bidi="zh-CN"/>
    </w:rPr>
  </w:style>
  <w:style w:type="character" w:customStyle="1" w:styleId="24">
    <w:name w:val="Header or footer|1 + Times New Roman"/>
    <w:basedOn w:val="21"/>
    <w:semiHidden/>
    <w:unhideWhenUsed/>
    <w:qFormat/>
    <w:uiPriority w:val="0"/>
    <w:rPr>
      <w:rFonts w:ascii="Times New Roman" w:hAnsi="Times New Roman" w:eastAsia="Times New Roman" w:cs="Times New Roman"/>
      <w:color w:val="000000"/>
      <w:spacing w:val="0"/>
      <w:w w:val="100"/>
      <w:position w:val="0"/>
      <w:sz w:val="18"/>
      <w:szCs w:val="18"/>
      <w:u w:val="none"/>
      <w:lang w:val="zh-CN" w:eastAsia="zh-CN" w:bidi="zh-CN"/>
    </w:rPr>
  </w:style>
  <w:style w:type="character" w:customStyle="1" w:styleId="25">
    <w:name w:val="Heading #1|1_"/>
    <w:basedOn w:val="4"/>
    <w:link w:val="26"/>
    <w:qFormat/>
    <w:uiPriority w:val="0"/>
    <w:rPr>
      <w:rFonts w:ascii="PMingLiU" w:hAnsi="PMingLiU" w:eastAsia="PMingLiU" w:cs="PMingLiU"/>
      <w:sz w:val="36"/>
      <w:szCs w:val="36"/>
      <w:u w:val="none"/>
    </w:rPr>
  </w:style>
  <w:style w:type="paragraph" w:customStyle="1" w:styleId="26">
    <w:name w:val="Heading #1|1"/>
    <w:basedOn w:val="1"/>
    <w:link w:val="25"/>
    <w:qFormat/>
    <w:uiPriority w:val="0"/>
    <w:pPr>
      <w:shd w:val="clear" w:color="auto" w:fill="FFFFFF"/>
      <w:spacing w:before="780" w:line="360" w:lineRule="exact"/>
      <w:outlineLvl w:val="0"/>
    </w:pPr>
    <w:rPr>
      <w:rFonts w:ascii="PMingLiU" w:hAnsi="PMingLiU" w:eastAsia="PMingLiU" w:cs="PMingLiU"/>
      <w:sz w:val="36"/>
      <w:szCs w:val="36"/>
    </w:rPr>
  </w:style>
  <w:style w:type="character" w:customStyle="1" w:styleId="27">
    <w:name w:val="Table caption|1_"/>
    <w:basedOn w:val="4"/>
    <w:link w:val="28"/>
    <w:qFormat/>
    <w:uiPriority w:val="0"/>
    <w:rPr>
      <w:rFonts w:ascii="PMingLiU" w:hAnsi="PMingLiU" w:eastAsia="PMingLiU" w:cs="PMingLiU"/>
      <w:sz w:val="20"/>
      <w:szCs w:val="20"/>
      <w:u w:val="none"/>
    </w:rPr>
  </w:style>
  <w:style w:type="paragraph" w:customStyle="1" w:styleId="28">
    <w:name w:val="Table caption|1"/>
    <w:basedOn w:val="1"/>
    <w:link w:val="27"/>
    <w:qFormat/>
    <w:uiPriority w:val="0"/>
    <w:pPr>
      <w:shd w:val="clear" w:color="auto" w:fill="FFFFFF"/>
      <w:spacing w:line="200" w:lineRule="exact"/>
    </w:pPr>
    <w:rPr>
      <w:rFonts w:ascii="PMingLiU" w:hAnsi="PMingLiU" w:eastAsia="PMingLiU" w:cs="PMingLiU"/>
      <w:sz w:val="20"/>
      <w:szCs w:val="20"/>
    </w:rPr>
  </w:style>
  <w:style w:type="character" w:customStyle="1" w:styleId="29">
    <w:name w:val="Table caption|1 + Spacing 2 pt"/>
    <w:basedOn w:val="27"/>
    <w:semiHidden/>
    <w:unhideWhenUsed/>
    <w:qFormat/>
    <w:uiPriority w:val="0"/>
    <w:rPr>
      <w:rFonts w:ascii="PMingLiU" w:hAnsi="PMingLiU" w:eastAsia="PMingLiU" w:cs="PMingLiU"/>
      <w:color w:val="000000"/>
      <w:spacing w:val="50"/>
      <w:w w:val="100"/>
      <w:position w:val="0"/>
      <w:sz w:val="20"/>
      <w:szCs w:val="20"/>
      <w:u w:val="none"/>
      <w:lang w:val="zh-CN" w:eastAsia="zh-CN" w:bidi="zh-CN"/>
    </w:rPr>
  </w:style>
  <w:style w:type="character" w:customStyle="1" w:styleId="30">
    <w:name w:val="Body text|2 + 10 pt"/>
    <w:basedOn w:val="13"/>
    <w:semiHidden/>
    <w:unhideWhenUsed/>
    <w:qFormat/>
    <w:uiPriority w:val="0"/>
    <w:rPr>
      <w:rFonts w:ascii="PMingLiU" w:hAnsi="PMingLiU" w:eastAsia="PMingLiU" w:cs="PMingLiU"/>
      <w:color w:val="000000"/>
      <w:spacing w:val="50"/>
      <w:w w:val="100"/>
      <w:position w:val="0"/>
      <w:sz w:val="20"/>
      <w:szCs w:val="20"/>
      <w:u w:val="none"/>
      <w:lang w:val="zh-CN" w:eastAsia="zh-CN" w:bidi="zh-CN"/>
    </w:rPr>
  </w:style>
  <w:style w:type="character" w:customStyle="1" w:styleId="31">
    <w:name w:val="Body text|2 + 10 pt1"/>
    <w:basedOn w:val="13"/>
    <w:semiHidden/>
    <w:unhideWhenUsed/>
    <w:qFormat/>
    <w:uiPriority w:val="0"/>
    <w:rPr>
      <w:rFonts w:ascii="PMingLiU" w:hAnsi="PMingLiU" w:eastAsia="PMingLiU" w:cs="PMingLiU"/>
      <w:color w:val="000000"/>
      <w:spacing w:val="0"/>
      <w:w w:val="100"/>
      <w:position w:val="0"/>
      <w:sz w:val="20"/>
      <w:szCs w:val="20"/>
      <w:u w:val="none"/>
      <w:lang w:val="zh-CN" w:eastAsia="zh-CN" w:bidi="zh-CN"/>
    </w:rPr>
  </w:style>
  <w:style w:type="character" w:customStyle="1" w:styleId="32">
    <w:name w:val="Body text|2 + 18 pt"/>
    <w:basedOn w:val="13"/>
    <w:semiHidden/>
    <w:unhideWhenUsed/>
    <w:qFormat/>
    <w:uiPriority w:val="0"/>
    <w:rPr>
      <w:rFonts w:ascii="PMingLiU" w:hAnsi="PMingLiU" w:eastAsia="PMingLiU" w:cs="PMingLiU"/>
      <w:color w:val="000000"/>
      <w:spacing w:val="90"/>
      <w:w w:val="60"/>
      <w:position w:val="0"/>
      <w:sz w:val="36"/>
      <w:szCs w:val="36"/>
      <w:u w:val="none"/>
      <w:lang w:val="zh-CN" w:eastAsia="zh-CN" w:bidi="zh-CN"/>
    </w:rPr>
  </w:style>
  <w:style w:type="character" w:customStyle="1" w:styleId="33">
    <w:name w:val="Body text|2 + 21 pt"/>
    <w:basedOn w:val="13"/>
    <w:semiHidden/>
    <w:unhideWhenUsed/>
    <w:qFormat/>
    <w:uiPriority w:val="0"/>
    <w:rPr>
      <w:rFonts w:ascii="PMingLiU" w:hAnsi="PMingLiU" w:eastAsia="PMingLiU" w:cs="PMingLiU"/>
      <w:color w:val="000000"/>
      <w:spacing w:val="70"/>
      <w:w w:val="90"/>
      <w:position w:val="0"/>
      <w:sz w:val="42"/>
      <w:szCs w:val="42"/>
      <w:u w:val="none"/>
      <w:lang w:val="zh-CN" w:eastAsia="zh-CN" w:bidi="zh-CN"/>
    </w:rPr>
  </w:style>
  <w:style w:type="character" w:customStyle="1" w:styleId="34">
    <w:name w:val="Body text|2 + Times New Roman1"/>
    <w:basedOn w:val="13"/>
    <w:semiHidden/>
    <w:unhideWhenUsed/>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35">
    <w:name w:val="Table caption|1 Exact"/>
    <w:basedOn w:val="4"/>
    <w:semiHidden/>
    <w:unhideWhenUsed/>
    <w:qFormat/>
    <w:uiPriority w:val="0"/>
    <w:rPr>
      <w:rFonts w:ascii="PMingLiU" w:hAnsi="PMingLiU" w:eastAsia="PMingLiU" w:cs="PMingLiU"/>
      <w:sz w:val="20"/>
      <w:szCs w:val="20"/>
      <w:u w:val="none"/>
    </w:rPr>
  </w:style>
  <w:style w:type="character" w:customStyle="1" w:styleId="36">
    <w:name w:val="Body text|7_"/>
    <w:basedOn w:val="4"/>
    <w:link w:val="37"/>
    <w:qFormat/>
    <w:uiPriority w:val="0"/>
    <w:rPr>
      <w:rFonts w:ascii="PMingLiU" w:hAnsi="PMingLiU" w:eastAsia="PMingLiU" w:cs="PMingLiU"/>
      <w:sz w:val="20"/>
      <w:szCs w:val="20"/>
      <w:u w:val="none"/>
    </w:rPr>
  </w:style>
  <w:style w:type="paragraph" w:customStyle="1" w:styleId="37">
    <w:name w:val="Body text|7"/>
    <w:basedOn w:val="1"/>
    <w:link w:val="36"/>
    <w:qFormat/>
    <w:uiPriority w:val="0"/>
    <w:pPr>
      <w:shd w:val="clear" w:color="auto" w:fill="FFFFFF"/>
      <w:spacing w:after="320" w:line="200" w:lineRule="exact"/>
      <w:jc w:val="right"/>
    </w:pPr>
    <w:rPr>
      <w:rFonts w:ascii="PMingLiU" w:hAnsi="PMingLiU" w:eastAsia="PMingLiU" w:cs="PMingLiU"/>
      <w:sz w:val="20"/>
      <w:szCs w:val="20"/>
    </w:rPr>
  </w:style>
  <w:style w:type="character" w:customStyle="1" w:styleId="38">
    <w:name w:val="Header or footer|1 + Times New Roman1"/>
    <w:basedOn w:val="21"/>
    <w:semiHidden/>
    <w:unhideWhenUsed/>
    <w:qFormat/>
    <w:uiPriority w:val="0"/>
    <w:rPr>
      <w:rFonts w:ascii="Times New Roman" w:hAnsi="Times New Roman" w:eastAsia="Times New Roman" w:cs="Times New Roman"/>
      <w:color w:val="000000"/>
      <w:spacing w:val="0"/>
      <w:w w:val="100"/>
      <w:position w:val="0"/>
      <w:sz w:val="11"/>
      <w:szCs w:val="11"/>
      <w:u w:val="none"/>
      <w:lang w:val="en-US" w:eastAsia="en-US" w:bidi="en-US"/>
    </w:rPr>
  </w:style>
  <w:style w:type="character" w:customStyle="1" w:styleId="39">
    <w:name w:val="Header or footer|1 + 10 pt"/>
    <w:basedOn w:val="21"/>
    <w:semiHidden/>
    <w:unhideWhenUsed/>
    <w:qFormat/>
    <w:uiPriority w:val="0"/>
    <w:rPr>
      <w:rFonts w:ascii="PMingLiU" w:hAnsi="PMingLiU" w:eastAsia="PMingLiU" w:cs="PMingLiU"/>
      <w:color w:val="000000"/>
      <w:spacing w:val="30"/>
      <w:w w:val="80"/>
      <w:position w:val="0"/>
      <w:sz w:val="20"/>
      <w:szCs w:val="20"/>
      <w:u w:val="none"/>
      <w:lang w:val="zh-CN" w:eastAsia="zh-CN" w:bidi="zh-CN"/>
    </w:rPr>
  </w:style>
  <w:style w:type="character" w:customStyle="1" w:styleId="40">
    <w:name w:val="Header or footer|1 + Times New Roman2"/>
    <w:basedOn w:val="21"/>
    <w:semiHidden/>
    <w:unhideWhenUsed/>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41">
    <w:name w:val="Body text|2 + 10.5 pt"/>
    <w:basedOn w:val="13"/>
    <w:semiHidden/>
    <w:unhideWhenUsed/>
    <w:qFormat/>
    <w:uiPriority w:val="0"/>
    <w:rPr>
      <w:rFonts w:ascii="PMingLiU" w:hAnsi="PMingLiU" w:eastAsia="PMingLiU" w:cs="PMingLiU"/>
      <w:color w:val="000000"/>
      <w:spacing w:val="60"/>
      <w:w w:val="100"/>
      <w:position w:val="0"/>
      <w:sz w:val="21"/>
      <w:szCs w:val="21"/>
      <w:u w:val="none"/>
      <w:lang w:val="zh-CN" w:eastAsia="zh-CN" w:bidi="zh-CN"/>
    </w:rPr>
  </w:style>
  <w:style w:type="character" w:customStyle="1" w:styleId="42">
    <w:name w:val="Body text|5 + 5 pt"/>
    <w:basedOn w:val="11"/>
    <w:semiHidden/>
    <w:unhideWhenUsed/>
    <w:qFormat/>
    <w:uiPriority w:val="0"/>
    <w:rPr>
      <w:rFonts w:ascii="PMingLiU" w:hAnsi="PMingLiU" w:eastAsia="PMingLiU" w:cs="PMingLiU"/>
      <w:color w:val="000000"/>
      <w:spacing w:val="30"/>
      <w:w w:val="100"/>
      <w:position w:val="0"/>
      <w:sz w:val="10"/>
      <w:szCs w:val="10"/>
      <w:u w:val="none"/>
      <w:lang w:val="zh-CN" w:eastAsia="zh-CN" w:bidi="zh-CN"/>
    </w:rPr>
  </w:style>
  <w:style w:type="character" w:customStyle="1" w:styleId="43">
    <w:name w:val="Body text|5 + Not Bold"/>
    <w:basedOn w:val="11"/>
    <w:semiHidden/>
    <w:unhideWhenUsed/>
    <w:qFormat/>
    <w:uiPriority w:val="0"/>
    <w:rPr>
      <w:rFonts w:ascii="PMingLiU" w:hAnsi="PMingLiU" w:eastAsia="PMingLiU" w:cs="PMingLiU"/>
      <w:color w:val="000000"/>
      <w:spacing w:val="0"/>
      <w:w w:val="100"/>
      <w:position w:val="0"/>
      <w:sz w:val="30"/>
      <w:szCs w:val="30"/>
      <w:u w:val="none"/>
      <w:lang w:val="zh-CN" w:eastAsia="zh-CN" w:bidi="zh-CN"/>
    </w:rPr>
  </w:style>
  <w:style w:type="character" w:customStyle="1" w:styleId="44">
    <w:name w:val="Body text|8_"/>
    <w:basedOn w:val="4"/>
    <w:link w:val="45"/>
    <w:qFormat/>
    <w:uiPriority w:val="0"/>
    <w:rPr>
      <w:rFonts w:ascii="PMingLiU" w:hAnsi="PMingLiU" w:eastAsia="PMingLiU" w:cs="PMingLiU"/>
      <w:sz w:val="30"/>
      <w:szCs w:val="30"/>
      <w:u w:val="none"/>
    </w:rPr>
  </w:style>
  <w:style w:type="paragraph" w:customStyle="1" w:styleId="45">
    <w:name w:val="Body text|8"/>
    <w:basedOn w:val="1"/>
    <w:link w:val="44"/>
    <w:qFormat/>
    <w:uiPriority w:val="0"/>
    <w:pPr>
      <w:shd w:val="clear" w:color="auto" w:fill="FFFFFF"/>
      <w:spacing w:line="600" w:lineRule="exact"/>
      <w:ind w:firstLine="720"/>
      <w:jc w:val="distribute"/>
    </w:pPr>
    <w:rPr>
      <w:rFonts w:ascii="PMingLiU" w:hAnsi="PMingLiU" w:eastAsia="PMingLiU" w:cs="PMingLiU"/>
      <w:sz w:val="30"/>
      <w:szCs w:val="30"/>
    </w:rPr>
  </w:style>
  <w:style w:type="character" w:customStyle="1" w:styleId="46">
    <w:name w:val="Body text|2 + 12 pt1"/>
    <w:basedOn w:val="13"/>
    <w:semiHidden/>
    <w:unhideWhenUsed/>
    <w:qFormat/>
    <w:uiPriority w:val="0"/>
    <w:rPr>
      <w:rFonts w:ascii="PMingLiU" w:hAnsi="PMingLiU" w:eastAsia="PMingLiU" w:cs="PMingLiU"/>
      <w:color w:val="000000"/>
      <w:spacing w:val="20"/>
      <w:w w:val="100"/>
      <w:position w:val="0"/>
      <w:sz w:val="24"/>
      <w:szCs w:val="24"/>
      <w:u w:val="none"/>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3"/>
    <customShpInfo spid="_x0000_s307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418</Words>
  <Characters>2386</Characters>
  <Lines>19</Lines>
  <Paragraphs>5</Paragraphs>
  <TotalTime>78</TotalTime>
  <ScaleCrop>false</ScaleCrop>
  <LinksUpToDate>false</LinksUpToDate>
  <CharactersWithSpaces>2799</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2019-01-17T03:01:00Z</dcterms:created>
  <dc:creator>Administrator</dc:creator>
  <cp:lastModifiedBy>Clytie</cp:lastModifiedBy>
  <cp:lastPrinted>2019-02-18T00:59:00Z</cp:lastPrinted>
  <dcterms:modified xsi:type="dcterms:W3CDTF">2020-03-05T10:08:10Z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