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hd w:val="clear" w:color="auto" w:fill="auto"/>
        <w:spacing w:after="0" w:line="900" w:lineRule="exact"/>
        <w:rPr>
          <w:b/>
          <w:bCs/>
        </w:rPr>
      </w:pPr>
      <w:r>
        <w:rPr>
          <w:rFonts w:hint="eastAsia" w:eastAsiaTheme="minorEastAsia"/>
          <w:b/>
          <w:bCs/>
        </w:rPr>
        <w:t>石台县</w:t>
      </w:r>
      <w:r>
        <w:rPr>
          <w:rFonts w:hint="eastAsia" w:eastAsiaTheme="minorEastAsia"/>
          <w:b/>
          <w:bCs/>
          <w:lang w:eastAsia="zh-CN"/>
        </w:rPr>
        <w:t>牯牛降景区管理中心</w:t>
      </w:r>
      <w:r>
        <w:rPr>
          <w:rStyle w:val="7"/>
          <w:rFonts w:hint="eastAsia" w:eastAsia="PMingLiU"/>
        </w:rPr>
        <w:t>20</w:t>
      </w:r>
      <w:r>
        <w:rPr>
          <w:rStyle w:val="7"/>
          <w:rFonts w:hint="eastAsia"/>
          <w:lang w:val="en-US"/>
        </w:rPr>
        <w:t>20</w:t>
      </w:r>
      <w:r>
        <w:rPr>
          <w:rStyle w:val="7"/>
          <w:rFonts w:hint="eastAsia" w:eastAsia="PMingLiU"/>
        </w:rPr>
        <w:t>年</w:t>
      </w:r>
      <w:r>
        <w:rPr>
          <w:b/>
          <w:bCs/>
        </w:rPr>
        <w:t>部门预算</w:t>
      </w: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jc w:val="both"/>
      </w:pPr>
    </w:p>
    <w:p>
      <w:pPr>
        <w:pStyle w:val="6"/>
        <w:shd w:val="clear" w:color="auto" w:fill="auto"/>
        <w:spacing w:after="0" w:line="560" w:lineRule="exact"/>
        <w:rPr>
          <w:lang w:val="en-US"/>
        </w:rPr>
        <w:sectPr>
          <w:pgSz w:w="11900" w:h="16840"/>
          <w:pgMar w:top="4790" w:right="3555" w:bottom="3554" w:left="3147" w:header="0" w:footer="3" w:gutter="0"/>
          <w:cols w:space="720" w:num="1"/>
          <w:docGrid w:linePitch="360" w:charSpace="0"/>
        </w:sectPr>
      </w:pPr>
      <w:r>
        <w:rPr>
          <w:rStyle w:val="10"/>
          <w:rFonts w:hint="eastAsia"/>
        </w:rPr>
        <w:t>20</w:t>
      </w:r>
      <w:r>
        <w:rPr>
          <w:rStyle w:val="10"/>
          <w:rFonts w:hint="eastAsia"/>
          <w:lang w:val="en-US"/>
        </w:rPr>
        <w:t>20</w:t>
      </w:r>
      <w:r>
        <w:rPr>
          <w:rStyle w:val="10"/>
          <w:rFonts w:hint="eastAsia"/>
        </w:rPr>
        <w:t>年</w:t>
      </w:r>
      <w:r>
        <w:rPr>
          <w:rStyle w:val="10"/>
          <w:lang w:val="en-US"/>
        </w:rPr>
        <w:t>1</w:t>
      </w:r>
      <w:r>
        <w:rPr>
          <w:rStyle w:val="10"/>
        </w:rPr>
        <w:t>月</w:t>
      </w:r>
      <w:r>
        <w:rPr>
          <w:rStyle w:val="10"/>
          <w:rFonts w:hint="eastAsia"/>
          <w:lang w:val="en-US"/>
        </w:rPr>
        <w:t>2</w:t>
      </w:r>
      <w:r>
        <w:rPr>
          <w:rStyle w:val="10"/>
          <w:lang w:val="en-US"/>
        </w:rPr>
        <w:t>0</w:t>
      </w:r>
      <w:r>
        <w:rPr>
          <w:rStyle w:val="10"/>
          <w:rFonts w:hint="eastAsia"/>
          <w:lang w:val="en-US"/>
        </w:rPr>
        <w:t>日</w:t>
      </w:r>
    </w:p>
    <w:p>
      <w:pPr>
        <w:spacing w:before="65" w:after="65" w:line="240" w:lineRule="exact"/>
        <w:rPr>
          <w:sz w:val="19"/>
          <w:szCs w:val="19"/>
        </w:rPr>
      </w:pPr>
    </w:p>
    <w:p>
      <w:pPr>
        <w:rPr>
          <w:sz w:val="2"/>
          <w:szCs w:val="2"/>
        </w:rPr>
        <w:sectPr>
          <w:pgSz w:w="11900" w:h="16840"/>
          <w:pgMar w:top="1920" w:right="0" w:bottom="1775" w:left="0" w:header="0" w:footer="3" w:gutter="0"/>
          <w:cols w:space="720" w:num="1"/>
          <w:docGrid w:linePitch="360" w:charSpace="0"/>
        </w:sectPr>
      </w:pPr>
    </w:p>
    <w:p>
      <w:pPr>
        <w:pStyle w:val="12"/>
        <w:shd w:val="clear" w:color="auto" w:fill="auto"/>
        <w:rPr>
          <w:rFonts w:ascii="仿宋" w:hAnsi="仿宋" w:eastAsia="仿宋" w:cs="仿宋"/>
          <w:sz w:val="32"/>
          <w:szCs w:val="32"/>
        </w:rPr>
      </w:pPr>
      <w:r>
        <w:rPr>
          <w:rFonts w:hint="eastAsia" w:ascii="仿宋" w:hAnsi="仿宋" w:eastAsia="仿宋" w:cs="仿宋"/>
          <w:sz w:val="32"/>
          <w:szCs w:val="32"/>
        </w:rPr>
        <w:t>第一部分</w:t>
      </w:r>
      <w:r>
        <w:rPr>
          <w:rFonts w:hint="eastAsia" w:ascii="仿宋" w:hAnsi="仿宋" w:eastAsia="仿宋" w:cs="仿宋"/>
          <w:sz w:val="32"/>
          <w:szCs w:val="32"/>
          <w:lang w:val="en-US"/>
        </w:rPr>
        <w:t xml:space="preserve"> </w:t>
      </w:r>
      <w:r>
        <w:rPr>
          <w:rFonts w:hint="eastAsia" w:ascii="仿宋" w:hAnsi="仿宋" w:eastAsia="仿宋" w:cs="仿宋"/>
          <w:sz w:val="32"/>
          <w:szCs w:val="32"/>
        </w:rPr>
        <w:t>部门概况</w:t>
      </w:r>
    </w:p>
    <w:p>
      <w:pPr>
        <w:pStyle w:val="14"/>
        <w:numPr>
          <w:ilvl w:val="0"/>
          <w:numId w:val="1"/>
        </w:numPr>
        <w:shd w:val="clear" w:color="auto" w:fill="auto"/>
        <w:tabs>
          <w:tab w:val="left" w:pos="382"/>
        </w:tabs>
        <w:spacing w:before="0"/>
        <w:rPr>
          <w:rFonts w:ascii="仿宋" w:hAnsi="仿宋" w:eastAsia="仿宋" w:cs="仿宋"/>
          <w:sz w:val="32"/>
          <w:szCs w:val="32"/>
        </w:rPr>
      </w:pPr>
      <w:r>
        <w:rPr>
          <w:rFonts w:hint="eastAsia" w:ascii="仿宋" w:hAnsi="仿宋" w:eastAsia="仿宋" w:cs="仿宋"/>
          <w:sz w:val="32"/>
          <w:szCs w:val="32"/>
        </w:rPr>
        <w:t>主要职责</w:t>
      </w:r>
    </w:p>
    <w:p>
      <w:pPr>
        <w:pStyle w:val="14"/>
        <w:numPr>
          <w:ilvl w:val="0"/>
          <w:numId w:val="1"/>
        </w:numPr>
        <w:shd w:val="clear" w:color="auto" w:fill="auto"/>
        <w:tabs>
          <w:tab w:val="left" w:pos="392"/>
        </w:tabs>
        <w:spacing w:before="0" w:after="30"/>
        <w:rPr>
          <w:rFonts w:ascii="仿宋" w:hAnsi="仿宋" w:eastAsia="仿宋" w:cs="仿宋"/>
          <w:sz w:val="32"/>
          <w:szCs w:val="32"/>
        </w:rPr>
      </w:pPr>
      <w:r>
        <w:rPr>
          <w:rFonts w:hint="eastAsia" w:ascii="仿宋" w:hAnsi="仿宋" w:eastAsia="仿宋" w:cs="仿宋"/>
          <w:sz w:val="32"/>
          <w:szCs w:val="32"/>
        </w:rPr>
        <w:t>部门预算单位构成</w:t>
      </w:r>
    </w:p>
    <w:p>
      <w:pPr>
        <w:pStyle w:val="14"/>
        <w:numPr>
          <w:ilvl w:val="0"/>
          <w:numId w:val="1"/>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年度主要工作任务</w:t>
      </w:r>
    </w:p>
    <w:p>
      <w:pPr>
        <w:pStyle w:val="12"/>
        <w:shd w:val="clear" w:color="auto" w:fill="auto"/>
        <w:spacing w:after="0" w:line="538" w:lineRule="exact"/>
        <w:rPr>
          <w:rFonts w:ascii="仿宋" w:hAnsi="仿宋" w:eastAsia="仿宋" w:cs="仿宋"/>
          <w:sz w:val="32"/>
          <w:szCs w:val="32"/>
        </w:rPr>
      </w:pPr>
      <w:r>
        <w:rPr>
          <w:rFonts w:hint="eastAsia" w:ascii="仿宋" w:hAnsi="仿宋" w:eastAsia="仿宋" w:cs="仿宋"/>
          <w:sz w:val="32"/>
          <w:szCs w:val="32"/>
        </w:rPr>
        <w:t>第二部分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1.关于20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年财政拨款收支预算总体情况说明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2.关于20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年一般公共预算财政拨款情况说明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3.关于20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年一般公共预算基本支出情况说明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4.关于20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年政府性基金预算拨款情况说明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5</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年收支预算总体情况说明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6</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年收入预算情况说明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7</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年支出预算情况说明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8</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年国有资本经营预算拨款情况说明</w:t>
      </w:r>
    </w:p>
    <w:p>
      <w:pPr>
        <w:pStyle w:val="12"/>
        <w:shd w:val="clear" w:color="auto" w:fill="auto"/>
        <w:spacing w:after="0" w:line="538" w:lineRule="exact"/>
        <w:rPr>
          <w:rFonts w:ascii="仿宋" w:hAnsi="仿宋" w:eastAsia="仿宋" w:cs="仿宋"/>
          <w:b w:val="0"/>
          <w:bCs w:val="0"/>
          <w:sz w:val="32"/>
          <w:szCs w:val="32"/>
          <w:lang w:val="en-US"/>
        </w:rPr>
      </w:pPr>
      <w:r>
        <w:rPr>
          <w:rFonts w:hint="eastAsia" w:ascii="仿宋" w:hAnsi="仿宋" w:eastAsia="仿宋" w:cs="仿宋"/>
          <w:b w:val="0"/>
          <w:bCs w:val="0"/>
          <w:sz w:val="32"/>
          <w:szCs w:val="32"/>
          <w:lang w:val="en-US"/>
        </w:rPr>
        <w:t>9.批复绩效目标的项目及绩效目标设置情况说明</w:t>
      </w:r>
    </w:p>
    <w:p>
      <w:pPr>
        <w:pStyle w:val="12"/>
        <w:shd w:val="clear" w:color="auto" w:fill="auto"/>
        <w:spacing w:after="0" w:line="538" w:lineRule="exact"/>
        <w:rPr>
          <w:rFonts w:ascii="仿宋" w:hAnsi="仿宋" w:eastAsia="仿宋" w:cs="仿宋"/>
          <w:b w:val="0"/>
          <w:bCs w:val="0"/>
          <w:sz w:val="32"/>
          <w:szCs w:val="32"/>
          <w:highlight w:val="yellow"/>
        </w:rPr>
      </w:pPr>
      <w:r>
        <w:rPr>
          <w:rFonts w:hint="eastAsia" w:ascii="仿宋" w:hAnsi="仿宋" w:eastAsia="仿宋" w:cs="仿宋"/>
          <w:b w:val="0"/>
          <w:bCs w:val="0"/>
          <w:sz w:val="32"/>
          <w:szCs w:val="32"/>
          <w:lang w:val="en-US"/>
        </w:rPr>
        <w:t>10</w:t>
      </w:r>
      <w:r>
        <w:rPr>
          <w:rFonts w:hint="eastAsia" w:ascii="仿宋" w:hAnsi="仿宋" w:eastAsia="仿宋" w:cs="仿宋"/>
          <w:b w:val="0"/>
          <w:bCs w:val="0"/>
          <w:sz w:val="32"/>
          <w:szCs w:val="32"/>
        </w:rPr>
        <w:t xml:space="preserve">.其他重要事项情况说明（含机关运行经费、政府采购预算、政府购买服务预算、国有资产占用情况等说明） </w:t>
      </w:r>
    </w:p>
    <w:p>
      <w:pPr>
        <w:pStyle w:val="14"/>
        <w:shd w:val="clear" w:color="auto" w:fill="auto"/>
        <w:tabs>
          <w:tab w:val="left" w:pos="392"/>
        </w:tabs>
        <w:spacing w:before="0" w:after="0" w:line="538" w:lineRule="exact"/>
        <w:rPr>
          <w:rFonts w:ascii="仿宋" w:hAnsi="仿宋" w:eastAsia="仿宋" w:cs="仿宋"/>
          <w:sz w:val="32"/>
          <w:szCs w:val="32"/>
        </w:rPr>
      </w:pPr>
      <w:r>
        <w:rPr>
          <w:rStyle w:val="16"/>
          <w:rFonts w:hint="eastAsia" w:ascii="仿宋" w:hAnsi="仿宋" w:eastAsia="仿宋" w:cs="仿宋"/>
          <w:sz w:val="32"/>
          <w:szCs w:val="32"/>
        </w:rPr>
        <w:t>第三部分</w:t>
      </w:r>
      <w:r>
        <w:rPr>
          <w:rStyle w:val="16"/>
          <w:rFonts w:hint="eastAsia" w:ascii="仿宋" w:hAnsi="仿宋" w:eastAsia="仿宋" w:cs="仿宋"/>
          <w:sz w:val="32"/>
          <w:szCs w:val="32"/>
          <w:lang w:val="en-US"/>
        </w:rPr>
        <w:t xml:space="preserve"> </w:t>
      </w:r>
      <w:r>
        <w:rPr>
          <w:rStyle w:val="16"/>
          <w:rFonts w:hint="eastAsia" w:ascii="仿宋" w:hAnsi="仿宋" w:eastAsia="仿宋" w:cs="仿宋"/>
          <w:sz w:val="32"/>
          <w:szCs w:val="32"/>
        </w:rPr>
        <w:t>名词解释</w:t>
      </w:r>
    </w:p>
    <w:p>
      <w:pPr>
        <w:pStyle w:val="12"/>
        <w:shd w:val="clear" w:color="auto" w:fill="auto"/>
        <w:spacing w:after="0" w:line="538" w:lineRule="exact"/>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年部门预算表（附表）</w:t>
      </w:r>
    </w:p>
    <w:p>
      <w:pPr>
        <w:pStyle w:val="14"/>
        <w:numPr>
          <w:ilvl w:val="0"/>
          <w:numId w:val="2"/>
        </w:numPr>
        <w:shd w:val="clear" w:color="auto" w:fill="auto"/>
        <w:tabs>
          <w:tab w:val="left" w:pos="38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年部门财政拨款收支预算总表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年部门一般公共预算基本支出预算表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年部门政府性基金预算支出预算表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年部门收支预算总表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年部门收入预算总表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年部门支出预算总表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w:t>
      </w:r>
      <w:r>
        <w:rPr>
          <w:rFonts w:hint="eastAsia" w:ascii="仿宋" w:hAnsi="仿宋" w:eastAsia="仿宋" w:cs="仿宋"/>
          <w:sz w:val="32"/>
          <w:szCs w:val="32"/>
        </w:rPr>
        <w:t>国有资本经营预算支出预算表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年部门政府采购预算表</w:t>
      </w:r>
    </w:p>
    <w:p>
      <w:pPr>
        <w:pStyle w:val="14"/>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10.20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年政府购买服务预算表</w:t>
      </w: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line="360" w:lineRule="auto"/>
        <w:jc w:val="both"/>
      </w:pPr>
    </w:p>
    <w:p>
      <w:pPr>
        <w:pStyle w:val="18"/>
        <w:shd w:val="clear" w:color="auto" w:fill="auto"/>
        <w:spacing w:after="81" w:line="360" w:lineRule="auto"/>
        <w:ind w:firstLine="763" w:firstLineChars="200"/>
        <w:rPr>
          <w:rFonts w:ascii="仿宋" w:hAnsi="仿宋" w:eastAsia="仿宋" w:cs="仿宋"/>
          <w:b/>
          <w:bCs/>
          <w:highlight w:val="none"/>
        </w:rPr>
      </w:pPr>
      <w:r>
        <w:rPr>
          <w:rFonts w:hint="eastAsia" w:ascii="仿宋" w:hAnsi="仿宋" w:eastAsia="仿宋" w:cs="仿宋"/>
          <w:b/>
          <w:bCs/>
          <w:highlight w:val="none"/>
        </w:rPr>
        <w:t>第一部分</w:t>
      </w:r>
      <w:r>
        <w:rPr>
          <w:rFonts w:hint="eastAsia" w:ascii="仿宋" w:hAnsi="仿宋" w:eastAsia="仿宋" w:cs="仿宋"/>
          <w:b/>
          <w:bCs/>
          <w:highlight w:val="none"/>
          <w:lang w:val="en-US"/>
        </w:rPr>
        <w:t xml:space="preserve"> </w:t>
      </w:r>
      <w:r>
        <w:rPr>
          <w:rFonts w:hint="eastAsia" w:ascii="仿宋" w:hAnsi="仿宋" w:eastAsia="仿宋" w:cs="仿宋"/>
          <w:b/>
          <w:bCs/>
          <w:highlight w:val="none"/>
        </w:rPr>
        <w:t>部门概况</w:t>
      </w:r>
    </w:p>
    <w:p>
      <w:pPr>
        <w:pStyle w:val="12"/>
        <w:shd w:val="clear" w:color="auto" w:fill="auto"/>
        <w:tabs>
          <w:tab w:val="left" w:pos="1301"/>
        </w:tabs>
        <w:spacing w:after="0" w:line="360" w:lineRule="auto"/>
        <w:ind w:firstLine="763" w:firstLineChars="200"/>
        <w:jc w:val="both"/>
        <w:rPr>
          <w:rFonts w:hint="eastAsia" w:ascii="仿宋" w:hAnsi="仿宋" w:eastAsia="仿宋" w:cs="仿宋"/>
          <w:sz w:val="32"/>
          <w:szCs w:val="32"/>
          <w:highlight w:val="none"/>
        </w:rPr>
      </w:pPr>
      <w:r>
        <w:rPr>
          <w:rFonts w:hint="eastAsia" w:ascii="仿宋" w:hAnsi="仿宋" w:eastAsia="仿宋" w:cs="仿宋"/>
          <w:sz w:val="32"/>
          <w:szCs w:val="32"/>
          <w:highlight w:val="none"/>
        </w:rPr>
        <w:t>一、</w:t>
      </w:r>
      <w:r>
        <w:rPr>
          <w:rFonts w:hint="eastAsia" w:ascii="仿宋" w:hAnsi="仿宋" w:eastAsia="仿宋" w:cs="仿宋"/>
          <w:sz w:val="32"/>
          <w:szCs w:val="32"/>
          <w:highlight w:val="none"/>
        </w:rPr>
        <w:tab/>
      </w:r>
      <w:r>
        <w:rPr>
          <w:rFonts w:hint="eastAsia" w:ascii="仿宋" w:hAnsi="仿宋" w:eastAsia="仿宋" w:cs="仿宋"/>
          <w:sz w:val="32"/>
          <w:szCs w:val="32"/>
          <w:highlight w:val="none"/>
        </w:rPr>
        <w:t>主要职责</w:t>
      </w:r>
    </w:p>
    <w:p>
      <w:pPr>
        <w:pStyle w:val="47"/>
        <w:numPr>
          <w:ilvl w:val="0"/>
          <w:numId w:val="0"/>
        </w:numPr>
        <w:autoSpaceDN w:val="0"/>
        <w:spacing w:line="520" w:lineRule="exact"/>
        <w:ind w:firstLine="640" w:firstLineChars="200"/>
        <w:rPr>
          <w:rFonts w:hint="eastAsia" w:ascii="Times New Roman" w:hAnsi="Times New Roman" w:eastAsia="黑体" w:cs="Times New Roman"/>
          <w:lang w:val="en-US" w:eastAsia="zh-CN"/>
        </w:rPr>
      </w:pPr>
      <w:r>
        <w:rPr>
          <w:rFonts w:hint="eastAsia" w:ascii="Times New Roman" w:hAnsi="Times New Roman" w:eastAsia="仿宋_GB2312" w:cs="Times New Roman"/>
          <w:kern w:val="0"/>
          <w:sz w:val="32"/>
          <w:szCs w:val="32"/>
          <w:lang w:val="en-US" w:eastAsia="zh-CN" w:bidi="ar-SA"/>
        </w:rPr>
        <w:t>根据石政办〔2013〕9号</w:t>
      </w:r>
      <w:r>
        <w:rPr>
          <w:rFonts w:hint="eastAsia" w:ascii="Times New Roman" w:hAnsi="Times New Roman" w:cs="Times New Roman"/>
          <w:kern w:val="0"/>
          <w:sz w:val="32"/>
          <w:szCs w:val="32"/>
          <w:lang w:val="en-US" w:eastAsia="zh-CN" w:bidi="ar-SA"/>
        </w:rPr>
        <w:t>文件规定，本部门主要职责是：</w:t>
      </w:r>
    </w:p>
    <w:p>
      <w:pPr>
        <w:pStyle w:val="47"/>
        <w:autoSpaceDN w:val="0"/>
        <w:spacing w:line="520" w:lineRule="exact"/>
        <w:ind w:firstLine="641"/>
        <w:rPr>
          <w:rFonts w:ascii="Times New Roman" w:hAnsi="Times New Roman" w:cs="Times New Roman"/>
        </w:rPr>
      </w:pPr>
      <w:r>
        <w:rPr>
          <w:rFonts w:ascii="Times New Roman" w:hAnsi="Times New Roman" w:cs="Times New Roman"/>
        </w:rPr>
        <w:t>（一）贯彻执行《中华人民共和国城乡规划法》、《中华人民共和国土地管理法》、《中华人民共和国森林法》、《中华人民共和国野生动物保护法》、《中华人民共和国环境保护法》和国务院《风景名胜区管理条例》等法律法规，按照科学规划、统一管理、严格保护、永续利用的原则，负责做好景区内自然、生态、旅游资源开发和环境保护等工作。</w:t>
      </w:r>
    </w:p>
    <w:p>
      <w:pPr>
        <w:pStyle w:val="47"/>
        <w:autoSpaceDN w:val="0"/>
        <w:spacing w:line="520" w:lineRule="exact"/>
        <w:ind w:firstLine="641"/>
        <w:rPr>
          <w:rFonts w:ascii="Times New Roman" w:hAnsi="Times New Roman" w:cs="Times New Roman"/>
        </w:rPr>
      </w:pPr>
      <w:r>
        <w:rPr>
          <w:rFonts w:ascii="Times New Roman" w:hAnsi="Times New Roman" w:cs="Times New Roman"/>
        </w:rPr>
        <w:t>（二）组织编制景区总体规划、建设详细规划和发展计划，按规定程序报批后负责组织实施。</w:t>
      </w:r>
    </w:p>
    <w:p>
      <w:pPr>
        <w:pStyle w:val="47"/>
        <w:autoSpaceDN w:val="0"/>
        <w:spacing w:line="520" w:lineRule="exact"/>
        <w:ind w:firstLine="641"/>
        <w:rPr>
          <w:rFonts w:ascii="Times New Roman" w:hAnsi="Times New Roman" w:cs="Times New Roman"/>
        </w:rPr>
      </w:pPr>
      <w:r>
        <w:rPr>
          <w:rFonts w:ascii="Times New Roman" w:hAnsi="Times New Roman" w:cs="Times New Roman"/>
        </w:rPr>
        <w:t xml:space="preserve">（三）负责景区内森林火灾的预防和扑救工作。 </w:t>
      </w:r>
    </w:p>
    <w:p>
      <w:pPr>
        <w:pStyle w:val="47"/>
        <w:autoSpaceDN w:val="0"/>
        <w:spacing w:line="520" w:lineRule="exact"/>
        <w:ind w:firstLine="641"/>
        <w:rPr>
          <w:rFonts w:ascii="Times New Roman" w:hAnsi="Times New Roman" w:cs="Times New Roman"/>
        </w:rPr>
      </w:pPr>
      <w:r>
        <w:rPr>
          <w:rFonts w:ascii="Times New Roman" w:hAnsi="Times New Roman" w:cs="Times New Roman"/>
        </w:rPr>
        <w:t>（四）制定景区各项管理制度和服务工作规定，并负责组织实施。</w:t>
      </w:r>
    </w:p>
    <w:p>
      <w:pPr>
        <w:pStyle w:val="47"/>
        <w:autoSpaceDN w:val="0"/>
        <w:spacing w:line="520" w:lineRule="exact"/>
        <w:ind w:firstLine="641"/>
        <w:rPr>
          <w:rFonts w:ascii="Times New Roman" w:hAnsi="Times New Roman" w:cs="Times New Roman"/>
        </w:rPr>
      </w:pPr>
      <w:r>
        <w:rPr>
          <w:rFonts w:ascii="Times New Roman" w:hAnsi="Times New Roman" w:cs="Times New Roman"/>
        </w:rPr>
        <w:t>（五）统一规划、管理景区基础设施、公共设施等建设项目。</w:t>
      </w:r>
    </w:p>
    <w:p>
      <w:pPr>
        <w:pStyle w:val="47"/>
        <w:autoSpaceDN w:val="0"/>
        <w:spacing w:line="520" w:lineRule="exact"/>
        <w:ind w:firstLine="641"/>
        <w:rPr>
          <w:rFonts w:ascii="Times New Roman" w:hAnsi="Times New Roman" w:cs="Times New Roman"/>
        </w:rPr>
      </w:pPr>
      <w:r>
        <w:rPr>
          <w:rFonts w:ascii="Times New Roman" w:hAnsi="Times New Roman" w:cs="Times New Roman"/>
        </w:rPr>
        <w:t>（六）负责景区对外招商项目策划、编制、洽谈，按照规定权限审批或审核景区投资项目，并报有关部门备案。</w:t>
      </w:r>
    </w:p>
    <w:p>
      <w:pPr>
        <w:pStyle w:val="47"/>
        <w:autoSpaceDN w:val="0"/>
        <w:spacing w:line="520" w:lineRule="exact"/>
        <w:ind w:firstLine="641"/>
        <w:rPr>
          <w:rFonts w:ascii="Times New Roman" w:hAnsi="Times New Roman" w:cs="Times New Roman"/>
        </w:rPr>
      </w:pPr>
      <w:r>
        <w:rPr>
          <w:rFonts w:ascii="Times New Roman" w:hAnsi="Times New Roman" w:cs="Times New Roman"/>
        </w:rPr>
        <w:t>（七）依据有关法律法规，行使县政府授予的行政执法权，在有关业务主管部门的指导下，做好景区规划、建设、土地、环境等行政执法工作。</w:t>
      </w:r>
    </w:p>
    <w:p>
      <w:pPr>
        <w:pStyle w:val="47"/>
        <w:autoSpaceDN w:val="0"/>
        <w:spacing w:line="520" w:lineRule="exact"/>
        <w:ind w:firstLine="641"/>
        <w:rPr>
          <w:rFonts w:ascii="Times New Roman" w:hAnsi="Times New Roman" w:cs="Times New Roman"/>
        </w:rPr>
      </w:pPr>
      <w:r>
        <w:rPr>
          <w:rFonts w:ascii="Times New Roman" w:hAnsi="Times New Roman" w:cs="Times New Roman"/>
        </w:rPr>
        <w:t>（八）负责景区营销策划和整体形象宣传、广告宣传，制定营销规划、计划，组织实施市场营销活动。</w:t>
      </w:r>
    </w:p>
    <w:p>
      <w:pPr>
        <w:pStyle w:val="47"/>
        <w:autoSpaceDN w:val="0"/>
        <w:spacing w:line="520" w:lineRule="exact"/>
        <w:ind w:firstLine="641"/>
        <w:rPr>
          <w:rFonts w:ascii="Times New Roman" w:hAnsi="Times New Roman" w:cs="Times New Roman"/>
        </w:rPr>
      </w:pPr>
      <w:r>
        <w:rPr>
          <w:rFonts w:ascii="Times New Roman" w:hAnsi="Times New Roman" w:cs="Times New Roman"/>
        </w:rPr>
        <w:t>（九）负责景区爱山、护山宣传教育。</w:t>
      </w:r>
    </w:p>
    <w:p>
      <w:pPr>
        <w:pStyle w:val="47"/>
        <w:autoSpaceDN w:val="0"/>
        <w:spacing w:line="520" w:lineRule="exact"/>
        <w:ind w:firstLine="641"/>
        <w:rPr>
          <w:rFonts w:ascii="Times New Roman" w:hAnsi="Times New Roman" w:cs="Times New Roman"/>
        </w:rPr>
      </w:pPr>
      <w:r>
        <w:rPr>
          <w:rFonts w:ascii="Times New Roman" w:hAnsi="Times New Roman" w:cs="Times New Roman"/>
        </w:rPr>
        <w:t>（十）负责景区文明创建和社会治安综合治理等工作。</w:t>
      </w:r>
    </w:p>
    <w:p>
      <w:pPr>
        <w:pStyle w:val="47"/>
        <w:autoSpaceDN w:val="0"/>
        <w:spacing w:line="520" w:lineRule="exact"/>
        <w:ind w:firstLine="641"/>
        <w:rPr>
          <w:rFonts w:ascii="Times New Roman" w:hAnsi="Times New Roman" w:cs="Times New Roman"/>
        </w:rPr>
      </w:pPr>
      <w:r>
        <w:rPr>
          <w:rFonts w:ascii="Times New Roman" w:hAnsi="Times New Roman" w:cs="Times New Roman"/>
        </w:rPr>
        <w:t>（十一）承办县委、县政府交办的其他事项。</w:t>
      </w:r>
    </w:p>
    <w:p>
      <w:pPr>
        <w:pStyle w:val="12"/>
        <w:shd w:val="clear" w:color="auto" w:fill="auto"/>
        <w:tabs>
          <w:tab w:val="left" w:pos="1301"/>
        </w:tabs>
        <w:spacing w:after="0" w:line="360" w:lineRule="auto"/>
        <w:ind w:firstLine="763" w:firstLineChars="200"/>
        <w:jc w:val="both"/>
        <w:rPr>
          <w:rFonts w:hint="eastAsia" w:ascii="仿宋" w:hAnsi="仿宋" w:eastAsia="仿宋" w:cs="仿宋"/>
          <w:sz w:val="32"/>
          <w:szCs w:val="32"/>
          <w:highlight w:val="yellow"/>
        </w:rPr>
      </w:pPr>
    </w:p>
    <w:p>
      <w:pPr>
        <w:pStyle w:val="12"/>
        <w:shd w:val="clear" w:color="auto" w:fill="auto"/>
        <w:tabs>
          <w:tab w:val="left" w:pos="1301"/>
        </w:tabs>
        <w:spacing w:after="0" w:line="360" w:lineRule="auto"/>
        <w:ind w:firstLine="763" w:firstLineChars="200"/>
        <w:jc w:val="both"/>
        <w:rPr>
          <w:rFonts w:ascii="仿宋" w:hAnsi="仿宋" w:eastAsia="仿宋" w:cs="仿宋"/>
          <w:sz w:val="32"/>
          <w:szCs w:val="32"/>
          <w:highlight w:val="none"/>
        </w:rPr>
      </w:pPr>
      <w:r>
        <w:rPr>
          <w:rFonts w:hint="eastAsia" w:ascii="仿宋" w:hAnsi="仿宋" w:eastAsia="仿宋" w:cs="仿宋"/>
          <w:sz w:val="32"/>
          <w:szCs w:val="32"/>
          <w:highlight w:val="none"/>
        </w:rPr>
        <w:t>二、</w:t>
      </w:r>
      <w:r>
        <w:rPr>
          <w:rFonts w:hint="eastAsia" w:ascii="仿宋" w:hAnsi="仿宋" w:eastAsia="仿宋" w:cs="仿宋"/>
          <w:sz w:val="32"/>
          <w:szCs w:val="32"/>
          <w:highlight w:val="none"/>
        </w:rPr>
        <w:tab/>
      </w:r>
      <w:r>
        <w:rPr>
          <w:rFonts w:hint="eastAsia" w:ascii="仿宋" w:hAnsi="仿宋" w:eastAsia="仿宋" w:cs="仿宋"/>
          <w:sz w:val="32"/>
          <w:szCs w:val="32"/>
          <w:highlight w:val="none"/>
        </w:rPr>
        <w:t>部门预算单位构成</w:t>
      </w:r>
    </w:p>
    <w:tbl>
      <w:tblPr>
        <w:tblStyle w:val="3"/>
        <w:tblW w:w="9014" w:type="dxa"/>
        <w:jc w:val="center"/>
        <w:tblCellSpacing w:w="0" w:type="dxa"/>
        <w:shd w:val="clear" w:color="auto" w:fill="auto"/>
        <w:tblLayout w:type="autofit"/>
        <w:tblCellMar>
          <w:top w:w="0" w:type="dxa"/>
          <w:left w:w="0" w:type="dxa"/>
          <w:bottom w:w="0" w:type="dxa"/>
          <w:right w:w="0" w:type="dxa"/>
        </w:tblCellMar>
      </w:tblPr>
      <w:tblGrid>
        <w:gridCol w:w="901"/>
        <w:gridCol w:w="3606"/>
        <w:gridCol w:w="4507"/>
      </w:tblGrid>
      <w:tr>
        <w:tblPrEx>
          <w:shd w:val="clear" w:color="auto" w:fill="auto"/>
          <w:tblCellMar>
            <w:top w:w="0" w:type="dxa"/>
            <w:left w:w="0" w:type="dxa"/>
            <w:bottom w:w="0" w:type="dxa"/>
            <w:right w:w="0" w:type="dxa"/>
          </w:tblCellMar>
        </w:tblPrEx>
        <w:trPr>
          <w:tblCellSpacing w:w="0" w:type="dxa"/>
          <w:jc w:val="center"/>
        </w:trPr>
        <w:tc>
          <w:tcPr>
            <w:tcW w:w="900" w:type="dxa"/>
            <w:tcBorders>
              <w:top w:val="nil"/>
              <w:left w:val="nil"/>
              <w:bottom w:val="nil"/>
              <w:right w:val="nil"/>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highlight w:val="none"/>
              </w:rPr>
            </w:pPr>
            <w:r>
              <w:rPr>
                <w:rFonts w:ascii="仿宋" w:hAnsi="仿宋" w:eastAsia="仿宋" w:cs="仿宋"/>
                <w:sz w:val="24"/>
                <w:szCs w:val="24"/>
                <w:highlight w:val="none"/>
              </w:rPr>
              <w:t>序号</w:t>
            </w:r>
            <w:r>
              <w:rPr>
                <w:rFonts w:hint="eastAsia" w:ascii="宋体" w:hAnsi="宋体" w:eastAsia="宋体" w:cs="宋体"/>
                <w:sz w:val="24"/>
                <w:szCs w:val="24"/>
                <w:highlight w:val="none"/>
              </w:rPr>
              <w:drawing>
                <wp:inline distT="0" distB="0" distL="114300" distR="114300">
                  <wp:extent cx="457200" cy="457200"/>
                  <wp:effectExtent l="0" t="0" r="0" b="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457200" cy="457200"/>
                          </a:xfrm>
                          <a:prstGeom prst="rect">
                            <a:avLst/>
                          </a:prstGeom>
                          <a:noFill/>
                          <a:ln w="9525">
                            <a:noFill/>
                          </a:ln>
                        </pic:spPr>
                      </pic:pic>
                    </a:graphicData>
                  </a:graphic>
                </wp:inline>
              </w:drawing>
            </w:r>
            <w:r>
              <w:rPr>
                <w:rFonts w:hint="eastAsia" w:ascii="仿宋" w:hAnsi="仿宋" w:eastAsia="仿宋" w:cs="仿宋"/>
                <w:sz w:val="24"/>
                <w:szCs w:val="24"/>
                <w:highlight w:val="none"/>
              </w:rPr>
              <w:t>号</w:t>
            </w:r>
          </w:p>
        </w:tc>
        <w:tc>
          <w:tcPr>
            <w:tcW w:w="3600" w:type="dxa"/>
            <w:tcBorders>
              <w:top w:val="nil"/>
              <w:left w:val="nil"/>
              <w:bottom w:val="nil"/>
              <w:right w:val="nil"/>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center"/>
              <w:rPr>
                <w:highlight w:val="none"/>
              </w:rPr>
            </w:pPr>
            <w:r>
              <w:rPr>
                <w:rFonts w:hint="eastAsia" w:ascii="仿宋" w:hAnsi="仿宋" w:eastAsia="仿宋" w:cs="仿宋"/>
                <w:sz w:val="24"/>
                <w:szCs w:val="24"/>
                <w:highlight w:val="none"/>
              </w:rPr>
              <w:t>单位名称</w:t>
            </w:r>
          </w:p>
        </w:tc>
        <w:tc>
          <w:tcPr>
            <w:tcW w:w="4500" w:type="dxa"/>
            <w:tcBorders>
              <w:top w:val="nil"/>
              <w:left w:val="nil"/>
              <w:bottom w:val="nil"/>
              <w:right w:val="nil"/>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center"/>
              <w:rPr>
                <w:highlight w:val="none"/>
              </w:rPr>
            </w:pPr>
            <w:r>
              <w:rPr>
                <w:rFonts w:hint="eastAsia" w:ascii="仿宋" w:hAnsi="仿宋" w:eastAsia="仿宋" w:cs="仿宋"/>
                <w:sz w:val="24"/>
                <w:szCs w:val="24"/>
                <w:highlight w:val="none"/>
              </w:rPr>
              <w:t>单位性质</w:t>
            </w:r>
          </w:p>
        </w:tc>
      </w:tr>
      <w:tr>
        <w:tblPrEx>
          <w:tblCellMar>
            <w:top w:w="0" w:type="dxa"/>
            <w:left w:w="0" w:type="dxa"/>
            <w:bottom w:w="0" w:type="dxa"/>
            <w:right w:w="0" w:type="dxa"/>
          </w:tblCellMar>
        </w:tblPrEx>
        <w:trPr>
          <w:tblCellSpacing w:w="0" w:type="dxa"/>
          <w:jc w:val="center"/>
        </w:trPr>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center"/>
              <w:rPr>
                <w:highlight w:val="none"/>
              </w:rPr>
            </w:pPr>
            <w:r>
              <w:rPr>
                <w:rFonts w:hint="eastAsia" w:ascii="仿宋" w:hAnsi="仿宋" w:eastAsia="仿宋" w:cs="仿宋"/>
                <w:sz w:val="24"/>
                <w:szCs w:val="24"/>
                <w:highlight w:val="none"/>
              </w:rPr>
              <w:t>1</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center"/>
              <w:rPr>
                <w:highlight w:val="none"/>
              </w:rPr>
            </w:pPr>
            <w:r>
              <w:rPr>
                <w:rFonts w:hint="eastAsia" w:ascii="仿宋" w:hAnsi="仿宋" w:eastAsia="仿宋" w:cs="仿宋"/>
                <w:sz w:val="24"/>
                <w:szCs w:val="24"/>
                <w:highlight w:val="none"/>
              </w:rPr>
              <w:t>局本级</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center"/>
          </w:tcPr>
          <w:p>
            <w:pPr>
              <w:pStyle w:val="2"/>
              <w:keepNext w:val="0"/>
              <w:keepLines w:val="0"/>
              <w:framePr w:w="9014" w:wrap="notBeside" w:vAnchor="text" w:hAnchor="page" w:x="1416" w:y="1991"/>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60"/>
              <w:jc w:val="center"/>
              <w:rPr>
                <w:highlight w:val="none"/>
              </w:rPr>
            </w:pPr>
            <w:r>
              <w:rPr>
                <w:rFonts w:hint="eastAsia" w:ascii="仿宋" w:hAnsi="仿宋" w:eastAsia="仿宋" w:cs="仿宋"/>
                <w:sz w:val="24"/>
                <w:szCs w:val="24"/>
                <w:highlight w:val="none"/>
              </w:rPr>
              <w:t>行政单位</w:t>
            </w:r>
          </w:p>
        </w:tc>
      </w:tr>
    </w:tbl>
    <w:p>
      <w:pPr>
        <w:framePr w:w="9014" w:wrap="notBeside" w:vAnchor="text" w:hAnchor="page" w:x="1416" w:y="1991"/>
        <w:spacing w:line="360" w:lineRule="auto"/>
        <w:ind w:firstLine="640" w:firstLineChars="200"/>
        <w:rPr>
          <w:rFonts w:ascii="仿宋" w:hAnsi="仿宋" w:eastAsia="仿宋" w:cs="仿宋"/>
          <w:sz w:val="32"/>
          <w:szCs w:val="32"/>
          <w:highlight w:val="none"/>
        </w:rPr>
      </w:pPr>
    </w:p>
    <w:p>
      <w:pPr>
        <w:pStyle w:val="14"/>
        <w:shd w:val="clear" w:color="auto" w:fill="auto"/>
        <w:spacing w:before="0" w:after="0" w:line="360" w:lineRule="auto"/>
        <w:ind w:firstLine="760" w:firstLineChars="200"/>
        <w:jc w:val="both"/>
        <w:rPr>
          <w:rFonts w:hint="eastAsia" w:ascii="仿宋" w:hAnsi="仿宋" w:eastAsia="仿宋" w:cs="仿宋"/>
          <w:sz w:val="32"/>
          <w:szCs w:val="32"/>
          <w:highlight w:val="none"/>
          <w:lang w:val="en-US"/>
        </w:rPr>
      </w:pPr>
      <w:r>
        <w:rPr>
          <w:rFonts w:hint="eastAsia" w:ascii="仿宋" w:hAnsi="仿宋" w:eastAsia="仿宋" w:cs="仿宋"/>
          <w:sz w:val="32"/>
          <w:szCs w:val="32"/>
          <w:highlight w:val="none"/>
          <w:lang w:val="en-US" w:eastAsia="zh-CN"/>
        </w:rPr>
        <w:t>石台县牯牛降景区管理中心</w:t>
      </w:r>
      <w:r>
        <w:rPr>
          <w:rFonts w:hint="eastAsia" w:ascii="仿宋" w:hAnsi="仿宋" w:eastAsia="仿宋" w:cs="仿宋"/>
          <w:sz w:val="32"/>
          <w:szCs w:val="32"/>
          <w:highlight w:val="none"/>
          <w:lang w:val="en-US"/>
        </w:rPr>
        <w:t>有下属预算单位1个（无下属预算单位），2020年度部门预算由局本级预算组成，纳入部门预算编制范围的单位共1个，具体情况见下表。</w:t>
      </w:r>
    </w:p>
    <w:p>
      <w:pPr>
        <w:pStyle w:val="14"/>
        <w:shd w:val="clear" w:color="auto" w:fill="auto"/>
        <w:spacing w:before="0" w:after="0" w:line="360" w:lineRule="auto"/>
        <w:ind w:firstLine="760" w:firstLineChars="200"/>
        <w:jc w:val="both"/>
        <w:rPr>
          <w:rFonts w:hint="eastAsia" w:ascii="仿宋" w:hAnsi="仿宋" w:eastAsia="仿宋" w:cs="仿宋"/>
          <w:sz w:val="32"/>
          <w:szCs w:val="32"/>
          <w:highlight w:val="none"/>
          <w:lang w:val="en-US"/>
        </w:rPr>
      </w:pPr>
      <w:r>
        <w:rPr>
          <w:rFonts w:hint="eastAsia" w:ascii="仿宋" w:hAnsi="仿宋" w:eastAsia="仿宋" w:cs="仿宋"/>
          <w:sz w:val="32"/>
          <w:szCs w:val="32"/>
          <w:highlight w:val="none"/>
          <w:lang w:val="en-US"/>
        </w:rPr>
        <w:t>三、20</w:t>
      </w:r>
      <w:r>
        <w:rPr>
          <w:rFonts w:hint="eastAsia" w:ascii="仿宋" w:hAnsi="仿宋" w:eastAsia="仿宋" w:cs="仿宋"/>
          <w:sz w:val="32"/>
          <w:szCs w:val="32"/>
          <w:highlight w:val="none"/>
          <w:lang w:val="en-US" w:eastAsia="zh-CN"/>
        </w:rPr>
        <w:t>20</w:t>
      </w:r>
      <w:r>
        <w:rPr>
          <w:rFonts w:hint="eastAsia" w:ascii="仿宋" w:hAnsi="仿宋" w:eastAsia="仿宋" w:cs="仿宋"/>
          <w:sz w:val="32"/>
          <w:szCs w:val="32"/>
          <w:highlight w:val="none"/>
          <w:lang w:val="en-US"/>
        </w:rPr>
        <w:t>年度主要工作任务</w:t>
      </w:r>
    </w:p>
    <w:p>
      <w:pPr>
        <w:pStyle w:val="47"/>
        <w:autoSpaceDN w:val="0"/>
        <w:spacing w:line="520" w:lineRule="exact"/>
        <w:ind w:firstLine="641"/>
        <w:rPr>
          <w:rFonts w:hint="eastAsia" w:ascii="Times New Roman" w:hAnsi="Times New Roman" w:cs="Times New Roman"/>
          <w:b/>
          <w:bCs/>
        </w:rPr>
      </w:pPr>
      <w:r>
        <w:rPr>
          <w:rFonts w:hint="eastAsia" w:ascii="Times New Roman" w:hAnsi="Times New Roman" w:cs="Times New Roman"/>
          <w:b/>
          <w:bCs/>
        </w:rPr>
        <w:t>一、重点工作</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（一）牯牛降旅游区年接待游客量达36万人以上；实现年旅游收入3400万元以上；完成固定资产投资 7000万元。</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（二）持续推进牯牛降5A景区创建。</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（三）建成运营聚龙牯牛降大酒店。</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（四）龙门至五指峰索道项目：完成项目立项审批并争取开工建设。</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（五）加快推进双龙谷景区开发、适时开放。</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（六）完成牯牛降红色文化展示馆项目。</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（七）加大招商力度，盘活闲置资产。</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（八）围绕国家重点生态功能区、大别山革命老区、国家扶贫开发工作重点县、全省深度贫困县扶持政策等有关政策，进一步加大项目和资金对上争取力度。</w:t>
      </w:r>
    </w:p>
    <w:p>
      <w:pPr>
        <w:pStyle w:val="47"/>
        <w:autoSpaceDN w:val="0"/>
        <w:spacing w:line="520" w:lineRule="exact"/>
        <w:ind w:firstLine="641"/>
        <w:rPr>
          <w:rFonts w:hint="eastAsia" w:ascii="Times New Roman" w:hAnsi="Times New Roman" w:cs="Times New Roman"/>
          <w:b/>
          <w:bCs/>
        </w:rPr>
      </w:pPr>
      <w:r>
        <w:rPr>
          <w:rFonts w:hint="eastAsia" w:ascii="Times New Roman" w:hAnsi="Times New Roman" w:cs="Times New Roman"/>
          <w:b/>
          <w:bCs/>
        </w:rPr>
        <w:t>二、职能工作</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（一）加强景区内部管理，确保全年无重大安全事故和无森林火灾发生。</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（二）支持安徽石台旅游股份发展有限公司不断丰富景区产品，督促营销策划和整体形象宣传、广告宣传，制定营销规划、计划，组织实施市场营销活动。</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（三）依照有关法律法规，在有关部门的指导下，做好景区规划、建设、土地、环境等行政执法活动。</w:t>
      </w:r>
    </w:p>
    <w:p>
      <w:pPr>
        <w:pStyle w:val="47"/>
        <w:autoSpaceDN w:val="0"/>
        <w:spacing w:line="520" w:lineRule="exact"/>
        <w:ind w:firstLine="641"/>
        <w:rPr>
          <w:rFonts w:hint="eastAsia" w:ascii="Times New Roman" w:hAnsi="Times New Roman" w:cs="Times New Roman"/>
        </w:rPr>
      </w:pPr>
      <w:r>
        <w:rPr>
          <w:rFonts w:hint="eastAsia" w:ascii="Times New Roman" w:hAnsi="Times New Roman" w:cs="Times New Roman"/>
        </w:rPr>
        <w:t>（四）认真做好景区文明创建、双拥、招商引资、党风廉政建设和社会治安综合治理等工作。</w:t>
      </w:r>
    </w:p>
    <w:p>
      <w:pPr>
        <w:pStyle w:val="47"/>
        <w:autoSpaceDN w:val="0"/>
        <w:spacing w:line="520" w:lineRule="exact"/>
        <w:ind w:firstLine="641"/>
        <w:rPr>
          <w:rFonts w:ascii="Times New Roman" w:hAnsi="Times New Roman" w:cs="Times New Roman"/>
        </w:rPr>
      </w:pPr>
      <w:r>
        <w:rPr>
          <w:rFonts w:hint="eastAsia" w:ascii="Times New Roman" w:hAnsi="Times New Roman" w:cs="Times New Roman"/>
        </w:rPr>
        <w:t>（五）完成县委、县政府下达的其他工作任务。</w:t>
      </w:r>
    </w:p>
    <w:p>
      <w:pPr>
        <w:pStyle w:val="18"/>
        <w:shd w:val="clear" w:color="auto" w:fill="auto"/>
        <w:spacing w:after="0" w:line="360" w:lineRule="auto"/>
        <w:ind w:firstLine="763" w:firstLineChars="200"/>
        <w:rPr>
          <w:rFonts w:hint="eastAsia" w:ascii="仿宋" w:hAnsi="仿宋" w:eastAsia="仿宋" w:cs="仿宋"/>
          <w:b/>
          <w:bCs/>
        </w:rPr>
      </w:pPr>
    </w:p>
    <w:p>
      <w:pPr>
        <w:pStyle w:val="18"/>
        <w:shd w:val="clear" w:color="auto" w:fill="auto"/>
        <w:spacing w:after="0" w:line="360" w:lineRule="auto"/>
        <w:ind w:firstLine="763" w:firstLineChars="200"/>
        <w:rPr>
          <w:rFonts w:ascii="仿宋" w:hAnsi="仿宋" w:eastAsia="仿宋" w:cs="仿宋"/>
          <w:b/>
          <w:bCs/>
        </w:rPr>
      </w:pPr>
      <w:r>
        <w:rPr>
          <w:rFonts w:hint="eastAsia" w:ascii="仿宋" w:hAnsi="仿宋" w:eastAsia="仿宋" w:cs="仿宋"/>
          <w:b/>
          <w:bCs/>
        </w:rPr>
        <w:t>第二部分</w:t>
      </w:r>
      <w:r>
        <w:rPr>
          <w:rFonts w:hint="eastAsia" w:ascii="仿宋" w:hAnsi="仿宋" w:eastAsia="仿宋" w:cs="仿宋"/>
          <w:b/>
          <w:bCs/>
          <w:lang w:val="en-US"/>
        </w:rPr>
        <w:t xml:space="preserve"> </w:t>
      </w:r>
      <w:r>
        <w:rPr>
          <w:rStyle w:val="20"/>
          <w:rFonts w:hint="eastAsia" w:ascii="仿宋" w:hAnsi="仿宋" w:eastAsia="仿宋" w:cs="仿宋"/>
          <w:b/>
          <w:bCs/>
          <w:sz w:val="32"/>
          <w:szCs w:val="32"/>
        </w:rPr>
        <w:t>20</w:t>
      </w:r>
      <w:r>
        <w:rPr>
          <w:rStyle w:val="20"/>
          <w:rFonts w:hint="eastAsia" w:ascii="仿宋" w:hAnsi="仿宋" w:eastAsia="仿宋" w:cs="仿宋"/>
          <w:b/>
          <w:bCs/>
          <w:sz w:val="32"/>
          <w:szCs w:val="32"/>
          <w:lang w:val="en-US"/>
        </w:rPr>
        <w:t>20</w:t>
      </w:r>
      <w:r>
        <w:rPr>
          <w:rStyle w:val="20"/>
          <w:rFonts w:hint="eastAsia" w:ascii="仿宋" w:hAnsi="仿宋" w:eastAsia="仿宋" w:cs="仿宋"/>
          <w:b/>
          <w:bCs/>
          <w:sz w:val="32"/>
          <w:szCs w:val="32"/>
        </w:rPr>
        <w:t>年</w:t>
      </w:r>
      <w:r>
        <w:rPr>
          <w:rFonts w:hint="eastAsia" w:ascii="仿宋" w:hAnsi="仿宋" w:eastAsia="仿宋" w:cs="仿宋"/>
          <w:b/>
          <w:bCs/>
        </w:rPr>
        <w:t>部门预算情况说明</w:t>
      </w:r>
    </w:p>
    <w:p>
      <w:pPr>
        <w:pStyle w:val="12"/>
        <w:shd w:val="clear" w:color="auto" w:fill="auto"/>
        <w:tabs>
          <w:tab w:val="left" w:pos="1473"/>
        </w:tabs>
        <w:spacing w:after="0" w:line="360" w:lineRule="auto"/>
        <w:ind w:firstLine="760" w:firstLineChars="200"/>
        <w:jc w:val="both"/>
        <w:rPr>
          <w:rFonts w:ascii="仿宋" w:hAnsi="仿宋" w:eastAsia="仿宋" w:cs="仿宋"/>
          <w:sz w:val="32"/>
          <w:szCs w:val="32"/>
        </w:rPr>
      </w:pPr>
      <w:r>
        <w:rPr>
          <w:rStyle w:val="42"/>
          <w:rFonts w:hint="eastAsia" w:ascii="仿宋" w:hAnsi="仿宋" w:eastAsia="仿宋" w:cs="仿宋"/>
          <w:b w:val="0"/>
          <w:bCs w:val="0"/>
          <w:sz w:val="32"/>
          <w:szCs w:val="32"/>
        </w:rPr>
        <w:t>一、</w:t>
      </w:r>
      <w:r>
        <w:rPr>
          <w:rStyle w:val="42"/>
          <w:rFonts w:hint="eastAsia" w:ascii="仿宋" w:hAnsi="仿宋" w:eastAsia="仿宋" w:cs="仿宋"/>
          <w:b w:val="0"/>
          <w:bCs w:val="0"/>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年财政拨款收支预算总体情况说明</w:t>
      </w:r>
    </w:p>
    <w:p>
      <w:pPr>
        <w:pStyle w:val="14"/>
        <w:shd w:val="clear" w:color="auto" w:fill="auto"/>
        <w:spacing w:before="0" w:after="0" w:line="360" w:lineRule="auto"/>
        <w:ind w:firstLine="760" w:firstLineChars="200"/>
        <w:jc w:val="both"/>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年财政拨款收支预算</w:t>
      </w:r>
      <w:r>
        <w:rPr>
          <w:rFonts w:hint="eastAsia" w:ascii="仿宋" w:hAnsi="仿宋" w:eastAsia="仿宋" w:cs="仿宋"/>
          <w:sz w:val="32"/>
          <w:szCs w:val="32"/>
          <w:lang w:val="en-US" w:eastAsia="zh-CN" w:bidi="en-US"/>
        </w:rPr>
        <w:t>153.38</w:t>
      </w:r>
      <w:r>
        <w:rPr>
          <w:rFonts w:hint="eastAsia" w:ascii="仿宋" w:hAnsi="仿宋" w:eastAsia="仿宋" w:cs="仿宋"/>
          <w:sz w:val="32"/>
          <w:szCs w:val="32"/>
        </w:rPr>
        <w:t>万元。收入按资金来源分为：一般公共预算拨款</w:t>
      </w:r>
      <w:r>
        <w:rPr>
          <w:rFonts w:hint="eastAsia" w:ascii="仿宋" w:hAnsi="仿宋" w:eastAsia="仿宋" w:cs="仿宋"/>
          <w:sz w:val="32"/>
          <w:szCs w:val="32"/>
          <w:lang w:val="en-US" w:eastAsia="zh-CN" w:bidi="en-US"/>
        </w:rPr>
        <w:t>152.38</w:t>
      </w:r>
      <w:r>
        <w:rPr>
          <w:rFonts w:hint="eastAsia" w:ascii="仿宋" w:hAnsi="仿宋" w:eastAsia="仿宋" w:cs="仿宋"/>
          <w:sz w:val="32"/>
          <w:szCs w:val="32"/>
        </w:rPr>
        <w:t>万元；按资金年度分为：当年财政拨款收入</w:t>
      </w:r>
      <w:r>
        <w:rPr>
          <w:rFonts w:hint="eastAsia" w:ascii="仿宋" w:hAnsi="仿宋" w:eastAsia="仿宋" w:cs="仿宋"/>
          <w:sz w:val="32"/>
          <w:szCs w:val="32"/>
          <w:lang w:val="en-US" w:eastAsia="zh-CN" w:bidi="en-US"/>
        </w:rPr>
        <w:t>152.38</w:t>
      </w:r>
      <w:r>
        <w:rPr>
          <w:rFonts w:hint="eastAsia" w:ascii="仿宋" w:hAnsi="仿宋" w:eastAsia="仿宋" w:cs="仿宋"/>
          <w:sz w:val="32"/>
          <w:szCs w:val="32"/>
        </w:rPr>
        <w:t>万元。支出按功能分类分为：社会保障和就业支出</w:t>
      </w:r>
      <w:r>
        <w:rPr>
          <w:rFonts w:hint="eastAsia" w:ascii="仿宋" w:hAnsi="仿宋" w:eastAsia="仿宋" w:cs="仿宋"/>
          <w:sz w:val="32"/>
          <w:szCs w:val="32"/>
          <w:lang w:val="en-US" w:eastAsia="zh-CN" w:bidi="en-US"/>
        </w:rPr>
        <w:t>13.61</w:t>
      </w:r>
      <w:r>
        <w:rPr>
          <w:rFonts w:hint="eastAsia" w:ascii="仿宋" w:hAnsi="仿宋" w:eastAsia="仿宋" w:cs="仿宋"/>
          <w:sz w:val="32"/>
          <w:szCs w:val="32"/>
        </w:rPr>
        <w:t>万元，占</w:t>
      </w:r>
      <w:r>
        <w:rPr>
          <w:rFonts w:hint="eastAsia" w:ascii="仿宋" w:hAnsi="仿宋" w:eastAsia="仿宋" w:cs="仿宋"/>
          <w:sz w:val="32"/>
          <w:szCs w:val="32"/>
          <w:lang w:val="en-US" w:eastAsia="zh-CN"/>
        </w:rPr>
        <w:t>8.93</w:t>
      </w:r>
      <w:r>
        <w:rPr>
          <w:rFonts w:hint="eastAsia" w:ascii="仿宋" w:hAnsi="仿宋" w:eastAsia="仿宋" w:cs="仿宋"/>
          <w:sz w:val="32"/>
          <w:szCs w:val="32"/>
        </w:rPr>
        <w:t>%;医疗卫生与计划生育支出</w:t>
      </w:r>
      <w:r>
        <w:rPr>
          <w:rFonts w:hint="eastAsia" w:ascii="仿宋" w:hAnsi="仿宋" w:eastAsia="仿宋" w:cs="仿宋"/>
          <w:sz w:val="32"/>
          <w:szCs w:val="32"/>
          <w:lang w:val="en-US" w:eastAsia="zh-CN" w:bidi="en-US"/>
        </w:rPr>
        <w:t>5.83</w:t>
      </w:r>
      <w:r>
        <w:rPr>
          <w:rFonts w:hint="eastAsia" w:ascii="仿宋" w:hAnsi="仿宋" w:eastAsia="仿宋" w:cs="仿宋"/>
          <w:sz w:val="32"/>
          <w:szCs w:val="32"/>
        </w:rPr>
        <w:t>万元，占</w:t>
      </w:r>
      <w:r>
        <w:rPr>
          <w:rFonts w:hint="eastAsia" w:ascii="仿宋" w:hAnsi="仿宋" w:eastAsia="仿宋" w:cs="仿宋"/>
          <w:sz w:val="32"/>
          <w:szCs w:val="32"/>
          <w:lang w:val="en-US" w:eastAsia="zh-CN" w:bidi="en-US"/>
        </w:rPr>
        <w:t>3.83</w:t>
      </w:r>
      <w:r>
        <w:rPr>
          <w:rFonts w:hint="eastAsia" w:ascii="仿宋" w:hAnsi="仿宋" w:eastAsia="仿宋" w:cs="仿宋"/>
          <w:sz w:val="32"/>
          <w:szCs w:val="32"/>
        </w:rPr>
        <w:t>%;住房保障支出</w:t>
      </w:r>
      <w:r>
        <w:rPr>
          <w:rFonts w:hint="eastAsia" w:ascii="仿宋" w:hAnsi="仿宋" w:eastAsia="仿宋" w:cs="仿宋"/>
          <w:sz w:val="32"/>
          <w:szCs w:val="32"/>
          <w:lang w:val="en-US" w:eastAsia="zh-CN" w:bidi="en-US"/>
        </w:rPr>
        <w:t>10.14</w:t>
      </w:r>
      <w:r>
        <w:rPr>
          <w:rFonts w:hint="eastAsia" w:ascii="仿宋" w:hAnsi="仿宋" w:eastAsia="仿宋" w:cs="仿宋"/>
          <w:sz w:val="32"/>
          <w:szCs w:val="32"/>
        </w:rPr>
        <w:t>万元，占</w:t>
      </w:r>
      <w:r>
        <w:rPr>
          <w:rFonts w:hint="eastAsia" w:ascii="仿宋" w:hAnsi="仿宋" w:eastAsia="仿宋" w:cs="仿宋"/>
          <w:sz w:val="32"/>
          <w:szCs w:val="32"/>
          <w:lang w:val="en-US" w:eastAsia="zh-CN"/>
        </w:rPr>
        <w:t>6.66</w:t>
      </w:r>
      <w:r>
        <w:rPr>
          <w:rFonts w:hint="eastAsia" w:ascii="仿宋" w:hAnsi="仿宋" w:eastAsia="仿宋" w:cs="仿宋"/>
          <w:sz w:val="32"/>
          <w:szCs w:val="32"/>
        </w:rPr>
        <w:t>%</w:t>
      </w:r>
      <w:r>
        <w:rPr>
          <w:rFonts w:hint="eastAsia" w:ascii="仿宋" w:hAnsi="仿宋" w:eastAsia="仿宋" w:cs="仿宋"/>
          <w:sz w:val="32"/>
          <w:szCs w:val="32"/>
          <w:lang w:eastAsia="zh-CN"/>
        </w:rPr>
        <w:t>；文化体育与传媒支出</w:t>
      </w:r>
      <w:r>
        <w:rPr>
          <w:rFonts w:hint="eastAsia" w:ascii="仿宋" w:hAnsi="仿宋" w:eastAsia="仿宋" w:cs="仿宋"/>
          <w:sz w:val="32"/>
          <w:szCs w:val="32"/>
          <w:lang w:val="en-US" w:eastAsia="zh-CN"/>
        </w:rPr>
        <w:t>122.8万元，占80.58%。</w:t>
      </w:r>
    </w:p>
    <w:p>
      <w:pPr>
        <w:pStyle w:val="12"/>
        <w:shd w:val="clear" w:color="auto" w:fill="auto"/>
        <w:tabs>
          <w:tab w:val="left" w:pos="1473"/>
        </w:tabs>
        <w:spacing w:after="0" w:line="360" w:lineRule="auto"/>
        <w:ind w:firstLine="640" w:firstLineChars="200"/>
        <w:jc w:val="both"/>
        <w:rPr>
          <w:rFonts w:ascii="仿宋" w:hAnsi="仿宋" w:eastAsia="仿宋" w:cs="仿宋"/>
          <w:sz w:val="32"/>
          <w:szCs w:val="32"/>
        </w:rPr>
      </w:pPr>
      <w:r>
        <w:rPr>
          <w:rStyle w:val="43"/>
          <w:rFonts w:hint="eastAsia" w:ascii="仿宋" w:hAnsi="仿宋" w:eastAsia="仿宋" w:cs="仿宋"/>
          <w:b w:val="0"/>
          <w:bCs w:val="0"/>
          <w:sz w:val="32"/>
          <w:szCs w:val="32"/>
        </w:rPr>
        <w:t>二、</w:t>
      </w:r>
      <w:r>
        <w:rPr>
          <w:rStyle w:val="43"/>
          <w:rFonts w:hint="eastAsia" w:ascii="仿宋" w:hAnsi="仿宋" w:eastAsia="仿宋" w:cs="仿宋"/>
          <w:b w:val="0"/>
          <w:bCs w:val="0"/>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年一般公共预算拨款情况说明</w:t>
      </w:r>
    </w:p>
    <w:p>
      <w:pPr>
        <w:pStyle w:val="45"/>
        <w:shd w:val="clear" w:color="auto" w:fill="auto"/>
        <w:tabs>
          <w:tab w:val="left" w:pos="1573"/>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（一）一般公共预算拨款规模变化情况。</w:t>
      </w:r>
    </w:p>
    <w:p>
      <w:pPr>
        <w:pStyle w:val="14"/>
        <w:shd w:val="clear" w:color="auto" w:fill="auto"/>
        <w:spacing w:before="0" w:after="0" w:line="360" w:lineRule="auto"/>
        <w:ind w:firstLine="760" w:firstLineChars="200"/>
        <w:rPr>
          <w:rFonts w:hint="eastAsia" w:ascii="仿宋" w:hAnsi="仿宋" w:eastAsia="仿宋" w:cs="仿宋"/>
          <w:sz w:val="32"/>
          <w:szCs w:val="32"/>
          <w:lang w:val="en-US" w:eastAsia="zh-CN"/>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年一般公共预算拨款</w:t>
      </w:r>
      <w:r>
        <w:rPr>
          <w:rFonts w:hint="eastAsia" w:ascii="仿宋" w:hAnsi="仿宋" w:eastAsia="仿宋" w:cs="仿宋"/>
          <w:sz w:val="32"/>
          <w:szCs w:val="32"/>
          <w:lang w:val="en-US" w:eastAsia="zh-CN" w:bidi="en-US"/>
        </w:rPr>
        <w:t>152.38</w:t>
      </w:r>
      <w:r>
        <w:rPr>
          <w:rFonts w:hint="eastAsia" w:ascii="仿宋" w:hAnsi="仿宋" w:eastAsia="仿宋" w:cs="仿宋"/>
          <w:sz w:val="32"/>
          <w:szCs w:val="32"/>
        </w:rPr>
        <w:t>万元，比201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年预算拨款增加</w:t>
      </w:r>
      <w:r>
        <w:rPr>
          <w:rFonts w:hint="eastAsia" w:ascii="仿宋" w:hAnsi="仿宋" w:eastAsia="仿宋" w:cs="仿宋"/>
          <w:sz w:val="32"/>
          <w:szCs w:val="32"/>
          <w:lang w:val="en-US" w:eastAsia="zh-CN"/>
        </w:rPr>
        <w:t>13.51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9.73</w:t>
      </w:r>
      <w:r>
        <w:rPr>
          <w:rFonts w:hint="eastAsia" w:ascii="仿宋" w:hAnsi="仿宋" w:eastAsia="仿宋" w:cs="仿宋"/>
          <w:sz w:val="32"/>
          <w:szCs w:val="32"/>
        </w:rPr>
        <w:t>%,增长原因主要是主要是单位人员的增加、调资以及社保医疗住房公积金的调整所产生的费用</w:t>
      </w:r>
      <w:r>
        <w:rPr>
          <w:rFonts w:hint="eastAsia" w:ascii="仿宋" w:hAnsi="仿宋" w:eastAsia="仿宋" w:cs="仿宋"/>
          <w:sz w:val="32"/>
          <w:szCs w:val="32"/>
          <w:lang w:eastAsia="zh-CN"/>
        </w:rPr>
        <w:t>。</w:t>
      </w:r>
    </w:p>
    <w:p>
      <w:pPr>
        <w:pStyle w:val="45"/>
        <w:shd w:val="clear" w:color="auto" w:fill="auto"/>
        <w:tabs>
          <w:tab w:val="left" w:pos="1578"/>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（二）一般公共预算拨款结构情况。</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社会保障和就业支出</w:t>
      </w:r>
      <w:r>
        <w:rPr>
          <w:rFonts w:hint="eastAsia" w:ascii="仿宋" w:hAnsi="仿宋" w:eastAsia="仿宋" w:cs="仿宋"/>
          <w:sz w:val="32"/>
          <w:szCs w:val="32"/>
          <w:lang w:val="en-US" w:eastAsia="zh-CN" w:bidi="en-US"/>
        </w:rPr>
        <w:t>13.61</w:t>
      </w:r>
      <w:r>
        <w:rPr>
          <w:rFonts w:hint="eastAsia" w:ascii="仿宋" w:hAnsi="仿宋" w:eastAsia="仿宋" w:cs="仿宋"/>
          <w:sz w:val="32"/>
          <w:szCs w:val="32"/>
        </w:rPr>
        <w:t>万元，占</w:t>
      </w:r>
      <w:r>
        <w:rPr>
          <w:rFonts w:hint="eastAsia" w:ascii="仿宋" w:hAnsi="仿宋" w:eastAsia="仿宋" w:cs="仿宋"/>
          <w:sz w:val="32"/>
          <w:szCs w:val="32"/>
          <w:lang w:val="en-US" w:eastAsia="zh-CN"/>
        </w:rPr>
        <w:t>8.93</w:t>
      </w:r>
      <w:r>
        <w:rPr>
          <w:rFonts w:hint="eastAsia" w:ascii="仿宋" w:hAnsi="仿宋" w:eastAsia="仿宋" w:cs="仿宋"/>
          <w:sz w:val="32"/>
          <w:szCs w:val="32"/>
        </w:rPr>
        <w:t>%;医疗卫生与计划生育支出</w:t>
      </w:r>
      <w:r>
        <w:rPr>
          <w:rFonts w:hint="eastAsia" w:ascii="仿宋" w:hAnsi="仿宋" w:eastAsia="仿宋" w:cs="仿宋"/>
          <w:sz w:val="32"/>
          <w:szCs w:val="32"/>
          <w:lang w:val="en-US" w:eastAsia="zh-CN" w:bidi="en-US"/>
        </w:rPr>
        <w:t>5.83</w:t>
      </w:r>
      <w:r>
        <w:rPr>
          <w:rFonts w:hint="eastAsia" w:ascii="仿宋" w:hAnsi="仿宋" w:eastAsia="仿宋" w:cs="仿宋"/>
          <w:sz w:val="32"/>
          <w:szCs w:val="32"/>
        </w:rPr>
        <w:t>万元，占</w:t>
      </w:r>
      <w:r>
        <w:rPr>
          <w:rFonts w:hint="eastAsia" w:ascii="仿宋" w:hAnsi="仿宋" w:eastAsia="仿宋" w:cs="仿宋"/>
          <w:sz w:val="32"/>
          <w:szCs w:val="32"/>
          <w:lang w:val="en-US" w:eastAsia="zh-CN" w:bidi="en-US"/>
        </w:rPr>
        <w:t>3.83</w:t>
      </w:r>
      <w:r>
        <w:rPr>
          <w:rFonts w:hint="eastAsia" w:ascii="仿宋" w:hAnsi="仿宋" w:eastAsia="仿宋" w:cs="仿宋"/>
          <w:sz w:val="32"/>
          <w:szCs w:val="32"/>
        </w:rPr>
        <w:t>%;住房保障支出</w:t>
      </w:r>
      <w:r>
        <w:rPr>
          <w:rFonts w:hint="eastAsia" w:ascii="仿宋" w:hAnsi="仿宋" w:eastAsia="仿宋" w:cs="仿宋"/>
          <w:sz w:val="32"/>
          <w:szCs w:val="32"/>
          <w:lang w:val="en-US" w:eastAsia="zh-CN" w:bidi="en-US"/>
        </w:rPr>
        <w:t>10.14</w:t>
      </w:r>
      <w:r>
        <w:rPr>
          <w:rFonts w:hint="eastAsia" w:ascii="仿宋" w:hAnsi="仿宋" w:eastAsia="仿宋" w:cs="仿宋"/>
          <w:sz w:val="32"/>
          <w:szCs w:val="32"/>
        </w:rPr>
        <w:t>万元，占</w:t>
      </w:r>
      <w:r>
        <w:rPr>
          <w:rFonts w:hint="eastAsia" w:ascii="仿宋" w:hAnsi="仿宋" w:eastAsia="仿宋" w:cs="仿宋"/>
          <w:sz w:val="32"/>
          <w:szCs w:val="32"/>
          <w:lang w:val="en-US" w:eastAsia="zh-CN"/>
        </w:rPr>
        <w:t>6.66</w:t>
      </w:r>
      <w:r>
        <w:rPr>
          <w:rFonts w:hint="eastAsia" w:ascii="仿宋" w:hAnsi="仿宋" w:eastAsia="仿宋" w:cs="仿宋"/>
          <w:sz w:val="32"/>
          <w:szCs w:val="32"/>
        </w:rPr>
        <w:t>%</w:t>
      </w:r>
      <w:r>
        <w:rPr>
          <w:rFonts w:hint="eastAsia" w:ascii="仿宋" w:hAnsi="仿宋" w:eastAsia="仿宋" w:cs="仿宋"/>
          <w:sz w:val="32"/>
          <w:szCs w:val="32"/>
          <w:lang w:eastAsia="zh-CN"/>
        </w:rPr>
        <w:t>；文化体育与传媒支出</w:t>
      </w:r>
      <w:r>
        <w:rPr>
          <w:rFonts w:hint="eastAsia" w:ascii="仿宋" w:hAnsi="仿宋" w:eastAsia="仿宋" w:cs="仿宋"/>
          <w:sz w:val="32"/>
          <w:szCs w:val="32"/>
          <w:lang w:val="en-US" w:eastAsia="zh-CN"/>
        </w:rPr>
        <w:t>122.8万元，占80.58%</w:t>
      </w:r>
      <w:r>
        <w:rPr>
          <w:rFonts w:hint="eastAsia" w:ascii="仿宋" w:hAnsi="仿宋" w:eastAsia="仿宋" w:cs="仿宋"/>
          <w:sz w:val="32"/>
          <w:szCs w:val="32"/>
        </w:rPr>
        <w:t>。</w:t>
      </w:r>
    </w:p>
    <w:p>
      <w:pPr>
        <w:pStyle w:val="45"/>
        <w:shd w:val="clear" w:color="auto" w:fill="auto"/>
        <w:tabs>
          <w:tab w:val="left" w:pos="1578"/>
        </w:tabs>
        <w:spacing w:line="360" w:lineRule="auto"/>
        <w:ind w:firstLine="640" w:firstLineChars="200"/>
        <w:jc w:val="both"/>
        <w:rPr>
          <w:rFonts w:ascii="仿宋" w:hAnsi="仿宋" w:eastAsia="仿宋" w:cs="仿宋"/>
          <w:sz w:val="32"/>
          <w:szCs w:val="32"/>
        </w:rPr>
      </w:pPr>
      <w:r>
        <w:rPr>
          <w:rFonts w:hint="eastAsia" w:ascii="仿宋" w:hAnsi="仿宋" w:eastAsia="仿宋" w:cs="仿宋"/>
          <w:sz w:val="32"/>
          <w:szCs w:val="32"/>
        </w:rPr>
        <w:t>（三）一般公共预算拨款具体使用情况。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63"/>
        <w:jc w:val="both"/>
        <w:rPr>
          <w:rFonts w:hint="eastAsia" w:ascii="仿宋" w:hAnsi="仿宋" w:eastAsia="仿宋" w:cs="仿宋"/>
          <w:color w:val="000000"/>
          <w:spacing w:val="30"/>
          <w:sz w:val="32"/>
          <w:szCs w:val="32"/>
          <w:lang w:val="zh-CN" w:eastAsia="zh-CN" w:bidi="zh-CN"/>
        </w:rPr>
      </w:pPr>
      <w:r>
        <w:rPr>
          <w:rStyle w:val="16"/>
          <w:rFonts w:hint="eastAsia" w:ascii="仿宋" w:hAnsi="仿宋" w:eastAsia="仿宋" w:cs="仿宋"/>
          <w:sz w:val="32"/>
          <w:szCs w:val="32"/>
          <w:lang w:val="en-US" w:bidi="en-US"/>
        </w:rPr>
        <w:t xml:space="preserve">1. </w:t>
      </w:r>
      <w:r>
        <w:rPr>
          <w:rStyle w:val="16"/>
          <w:rFonts w:hint="eastAsia" w:ascii="仿宋" w:hAnsi="仿宋" w:eastAsia="仿宋" w:cs="仿宋"/>
          <w:sz w:val="32"/>
          <w:szCs w:val="32"/>
        </w:rPr>
        <w:t xml:space="preserve">“社会保障和就业支出”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w:t>
      </w:r>
      <w:r>
        <w:rPr>
          <w:rFonts w:hint="eastAsia" w:ascii="仿宋" w:hAnsi="仿宋" w:eastAsia="仿宋" w:cs="仿宋"/>
          <w:sz w:val="32"/>
          <w:szCs w:val="32"/>
          <w:lang w:val="en-US" w:eastAsia="zh-CN"/>
        </w:rPr>
        <w:t>13.61</w:t>
      </w:r>
      <w:r>
        <w:rPr>
          <w:rFonts w:hint="eastAsia" w:ascii="仿宋" w:hAnsi="仿宋" w:eastAsia="仿宋" w:cs="仿宋"/>
          <w:sz w:val="32"/>
          <w:szCs w:val="32"/>
        </w:rPr>
        <w:t>万元</w:t>
      </w:r>
      <w:r>
        <w:rPr>
          <w:rFonts w:hint="eastAsia" w:ascii="仿宋" w:hAnsi="仿宋" w:eastAsia="仿宋" w:cs="仿宋"/>
          <w:sz w:val="32"/>
          <w:szCs w:val="32"/>
          <w:highlight w:val="none"/>
        </w:rPr>
        <w:t>。</w:t>
      </w:r>
      <w:r>
        <w:rPr>
          <w:rFonts w:hint="eastAsia" w:ascii="仿宋" w:hAnsi="仿宋" w:eastAsia="仿宋" w:cs="仿宋"/>
          <w:color w:val="000000"/>
          <w:spacing w:val="30"/>
          <w:sz w:val="32"/>
          <w:szCs w:val="32"/>
          <w:lang w:val="zh-CN" w:eastAsia="zh-CN" w:bidi="zh-CN"/>
        </w:rPr>
        <w:t>其中：“归口管理的行政单位离退休”预算0万元；“机关事业单位基本养老保险 缴费支出”</w:t>
      </w:r>
      <w:r>
        <w:rPr>
          <w:rFonts w:hint="eastAsia" w:ascii="仿宋" w:hAnsi="仿宋" w:eastAsia="仿宋" w:cs="仿宋"/>
          <w:color w:val="000000"/>
          <w:spacing w:val="30"/>
          <w:sz w:val="32"/>
          <w:szCs w:val="32"/>
          <w:lang w:val="en-US" w:eastAsia="zh-CN" w:bidi="zh-CN"/>
        </w:rPr>
        <w:t>13.61</w:t>
      </w:r>
      <w:r>
        <w:rPr>
          <w:rFonts w:hint="eastAsia" w:ascii="仿宋" w:hAnsi="仿宋" w:eastAsia="仿宋" w:cs="仿宋"/>
          <w:color w:val="000000"/>
          <w:spacing w:val="30"/>
          <w:sz w:val="32"/>
          <w:szCs w:val="32"/>
          <w:lang w:val="zh-CN" w:eastAsia="zh-CN" w:bidi="zh-CN"/>
        </w:rPr>
        <w:t>万元，主要用于本年度单位在职在编人员的机关养老保险等社会保障缴费支出。</w:t>
      </w:r>
    </w:p>
    <w:p>
      <w:pPr>
        <w:pStyle w:val="14"/>
        <w:shd w:val="clear" w:color="auto" w:fill="auto"/>
        <w:spacing w:before="0" w:after="0" w:line="360" w:lineRule="auto"/>
        <w:ind w:firstLine="760" w:firstLineChars="200"/>
        <w:jc w:val="both"/>
        <w:rPr>
          <w:rFonts w:ascii="仿宋" w:hAnsi="仿宋" w:eastAsia="仿宋" w:cs="仿宋"/>
          <w:sz w:val="32"/>
          <w:szCs w:val="32"/>
        </w:rPr>
      </w:pPr>
    </w:p>
    <w:p>
      <w:pPr>
        <w:pStyle w:val="14"/>
        <w:numPr>
          <w:ilvl w:val="0"/>
          <w:numId w:val="3"/>
        </w:numPr>
        <w:shd w:val="clear" w:color="auto" w:fill="auto"/>
        <w:tabs>
          <w:tab w:val="left" w:pos="1107"/>
        </w:tabs>
        <w:spacing w:before="0" w:after="0" w:line="360" w:lineRule="auto"/>
        <w:ind w:firstLine="763" w:firstLineChars="200"/>
        <w:jc w:val="both"/>
        <w:rPr>
          <w:rFonts w:hint="eastAsia" w:ascii="仿宋" w:hAnsi="仿宋" w:eastAsia="仿宋" w:cs="仿宋"/>
          <w:sz w:val="32"/>
          <w:szCs w:val="32"/>
        </w:rPr>
      </w:pPr>
      <w:r>
        <w:rPr>
          <w:rStyle w:val="16"/>
          <w:rFonts w:hint="eastAsia" w:ascii="仿宋" w:hAnsi="仿宋" w:eastAsia="仿宋" w:cs="仿宋"/>
          <w:sz w:val="32"/>
          <w:szCs w:val="32"/>
        </w:rPr>
        <w:t>“医疗卫生与计划生育支出</w:t>
      </w:r>
      <w:r>
        <w:rPr>
          <w:rFonts w:hint="eastAsia" w:ascii="仿宋" w:hAnsi="仿宋" w:eastAsia="仿宋" w:cs="仿宋"/>
          <w:sz w:val="32"/>
          <w:szCs w:val="32"/>
        </w:rPr>
        <w:t>” 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w:t>
      </w:r>
      <w:r>
        <w:rPr>
          <w:rFonts w:hint="eastAsia" w:ascii="仿宋" w:hAnsi="仿宋" w:eastAsia="仿宋" w:cs="仿宋"/>
          <w:sz w:val="32"/>
          <w:szCs w:val="32"/>
          <w:lang w:val="en-US" w:eastAsia="zh-CN" w:bidi="en-US"/>
        </w:rPr>
        <w:t>5.83</w:t>
      </w:r>
      <w:r>
        <w:rPr>
          <w:rFonts w:hint="eastAsia" w:ascii="仿宋" w:hAnsi="仿宋" w:eastAsia="仿宋" w:cs="仿宋"/>
          <w:sz w:val="32"/>
          <w:szCs w:val="32"/>
        </w:rPr>
        <w:t>万元，其中：“行政单位医疗”预算</w:t>
      </w:r>
      <w:r>
        <w:rPr>
          <w:rFonts w:hint="eastAsia" w:ascii="仿宋" w:hAnsi="仿宋" w:eastAsia="仿宋" w:cs="仿宋"/>
          <w:sz w:val="32"/>
          <w:szCs w:val="32"/>
          <w:lang w:val="en-US" w:eastAsia="zh-CN"/>
        </w:rPr>
        <w:t>5.83</w:t>
      </w:r>
      <w:r>
        <w:rPr>
          <w:rFonts w:hint="eastAsia" w:ascii="仿宋" w:hAnsi="仿宋" w:eastAsia="仿宋" w:cs="仿宋"/>
          <w:sz w:val="32"/>
          <w:szCs w:val="32"/>
        </w:rPr>
        <w:t>万元，主要用于本年度单位在职职工的医疗卫生等支出。</w:t>
      </w:r>
    </w:p>
    <w:p>
      <w:pPr>
        <w:pStyle w:val="14"/>
        <w:numPr>
          <w:ilvl w:val="0"/>
          <w:numId w:val="3"/>
        </w:numPr>
        <w:shd w:val="clear" w:color="auto" w:fill="auto"/>
        <w:tabs>
          <w:tab w:val="left" w:pos="1107"/>
        </w:tabs>
        <w:spacing w:before="0" w:after="0" w:line="360" w:lineRule="auto"/>
        <w:ind w:firstLine="763" w:firstLineChars="200"/>
        <w:rPr>
          <w:rFonts w:hint="eastAsia" w:ascii="仿宋" w:hAnsi="仿宋" w:eastAsia="仿宋" w:cs="仿宋"/>
          <w:sz w:val="32"/>
          <w:szCs w:val="32"/>
        </w:rPr>
      </w:pPr>
      <w:r>
        <w:rPr>
          <w:rStyle w:val="16"/>
          <w:rFonts w:hint="eastAsia" w:ascii="仿宋" w:hAnsi="仿宋" w:eastAsia="仿宋" w:cs="仿宋"/>
          <w:sz w:val="32"/>
          <w:szCs w:val="32"/>
        </w:rPr>
        <w:t xml:space="preserve">“住房保障支出”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w:t>
      </w:r>
      <w:r>
        <w:rPr>
          <w:rFonts w:hint="eastAsia" w:ascii="仿宋" w:hAnsi="仿宋" w:eastAsia="仿宋" w:cs="仿宋"/>
          <w:sz w:val="32"/>
          <w:szCs w:val="32"/>
          <w:lang w:val="en-US" w:eastAsia="zh-CN" w:bidi="en-US"/>
        </w:rPr>
        <w:t>10.</w:t>
      </w:r>
      <w:r>
        <w:rPr>
          <w:rFonts w:hint="eastAsia" w:ascii="仿宋" w:hAnsi="仿宋" w:eastAsia="仿宋" w:cs="仿宋"/>
          <w:sz w:val="32"/>
          <w:szCs w:val="32"/>
          <w:lang w:val="en-US" w:eastAsia="zh-CN"/>
        </w:rPr>
        <w:t>14</w:t>
      </w:r>
      <w:r>
        <w:rPr>
          <w:rFonts w:hint="eastAsia" w:ascii="仿宋" w:hAnsi="仿宋" w:eastAsia="仿宋" w:cs="仿宋"/>
          <w:sz w:val="32"/>
          <w:szCs w:val="32"/>
        </w:rPr>
        <w:t>万元</w:t>
      </w:r>
      <w:bookmarkStart w:id="0" w:name="_GoBack"/>
      <w:bookmarkEnd w:id="0"/>
      <w:r>
        <w:rPr>
          <w:rFonts w:hint="eastAsia" w:ascii="仿宋" w:hAnsi="仿宋" w:eastAsia="仿宋" w:cs="仿宋"/>
          <w:sz w:val="32"/>
          <w:szCs w:val="32"/>
        </w:rPr>
        <w:t>。其中：“住房公积金”预算</w:t>
      </w:r>
      <w:r>
        <w:rPr>
          <w:rFonts w:hint="eastAsia" w:ascii="仿宋" w:hAnsi="仿宋" w:eastAsia="仿宋" w:cs="仿宋"/>
          <w:sz w:val="32"/>
          <w:szCs w:val="32"/>
          <w:lang w:val="en-US" w:eastAsia="zh-CN"/>
        </w:rPr>
        <w:t>10.14</w:t>
      </w:r>
      <w:r>
        <w:rPr>
          <w:rFonts w:hint="eastAsia" w:ascii="仿宋" w:hAnsi="仿宋" w:eastAsia="仿宋" w:cs="仿宋"/>
          <w:sz w:val="32"/>
          <w:szCs w:val="32"/>
        </w:rPr>
        <w:t>万元，主要用于本年度单位职工的住房公积金缴纳</w:t>
      </w:r>
      <w:r>
        <w:rPr>
          <w:rFonts w:hint="eastAsia" w:ascii="仿宋" w:hAnsi="仿宋" w:eastAsia="仿宋" w:cs="仿宋"/>
          <w:sz w:val="32"/>
          <w:szCs w:val="32"/>
        </w:rPr>
        <w:t>。</w:t>
      </w:r>
    </w:p>
    <w:p>
      <w:pPr>
        <w:pStyle w:val="12"/>
        <w:numPr>
          <w:ilvl w:val="0"/>
          <w:numId w:val="3"/>
        </w:numPr>
        <w:shd w:val="clear" w:color="auto" w:fill="auto"/>
        <w:spacing w:after="0" w:line="360" w:lineRule="auto"/>
        <w:ind w:left="0" w:leftChars="0" w:firstLine="763" w:firstLineChars="200"/>
        <w:jc w:val="both"/>
        <w:rPr>
          <w:rFonts w:hint="eastAsia" w:ascii="仿宋" w:hAnsi="仿宋" w:eastAsia="仿宋" w:cs="仿宋"/>
          <w:b w:val="0"/>
          <w:bCs w:val="0"/>
          <w:sz w:val="32"/>
          <w:szCs w:val="32"/>
          <w:lang w:val="en-US" w:eastAsia="zh-CN"/>
        </w:rPr>
      </w:pPr>
      <w:r>
        <w:rPr>
          <w:rFonts w:hint="eastAsia" w:ascii="仿宋" w:hAnsi="仿宋" w:eastAsia="仿宋" w:cs="仿宋"/>
          <w:sz w:val="32"/>
          <w:szCs w:val="32"/>
          <w:lang w:val="en-US" w:eastAsia="zh-CN"/>
        </w:rPr>
        <w:t>“文化体育与传媒”</w:t>
      </w:r>
      <w:r>
        <w:rPr>
          <w:rFonts w:hint="eastAsia" w:ascii="仿宋" w:hAnsi="仿宋" w:eastAsia="仿宋" w:cs="仿宋"/>
          <w:b w:val="0"/>
          <w:bCs w:val="0"/>
          <w:sz w:val="32"/>
          <w:szCs w:val="32"/>
          <w:lang w:val="en-US" w:eastAsia="zh-CN"/>
        </w:rPr>
        <w:t>2020年预算122.8万元，</w:t>
      </w:r>
    </w:p>
    <w:p>
      <w:pPr>
        <w:pStyle w:val="12"/>
        <w:numPr>
          <w:numId w:val="0"/>
        </w:numPr>
        <w:shd w:val="clear" w:color="auto" w:fill="auto"/>
        <w:spacing w:after="0" w:line="360" w:lineRule="auto"/>
        <w:ind w:leftChars="200" w:firstLine="381" w:firstLineChars="100"/>
        <w:jc w:val="both"/>
        <w:rPr>
          <w:rFonts w:ascii="仿宋" w:hAnsi="仿宋" w:eastAsia="仿宋" w:cs="仿宋"/>
          <w:sz w:val="32"/>
          <w:szCs w:val="32"/>
        </w:rPr>
      </w:pPr>
      <w:r>
        <w:rPr>
          <w:rFonts w:hint="eastAsia" w:ascii="仿宋" w:hAnsi="仿宋" w:eastAsia="仿宋" w:cs="仿宋"/>
          <w:sz w:val="32"/>
          <w:szCs w:val="32"/>
        </w:rPr>
        <w:t>三、关于20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年一般公共预算基本支出情况说明</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年一般公共预算基本支出</w:t>
      </w:r>
      <w:r>
        <w:rPr>
          <w:rFonts w:hint="eastAsia" w:ascii="仿宋" w:hAnsi="仿宋" w:eastAsia="仿宋" w:cs="仿宋"/>
          <w:sz w:val="32"/>
          <w:szCs w:val="32"/>
          <w:lang w:val="en-US" w:eastAsia="zh-CN" w:bidi="en-US"/>
        </w:rPr>
        <w:t>135.38</w:t>
      </w:r>
      <w:r>
        <w:rPr>
          <w:rFonts w:hint="eastAsia" w:ascii="仿宋" w:hAnsi="仿宋" w:eastAsia="仿宋" w:cs="仿宋"/>
          <w:sz w:val="32"/>
          <w:szCs w:val="32"/>
        </w:rPr>
        <w:t>万元，其中：</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rPr>
        <w:t>工资福利支出</w:t>
      </w:r>
      <w:r>
        <w:rPr>
          <w:rFonts w:hint="eastAsia" w:ascii="仿宋" w:hAnsi="仿宋" w:eastAsia="仿宋" w:cs="仿宋"/>
          <w:sz w:val="32"/>
          <w:szCs w:val="32"/>
          <w:lang w:val="en-US" w:eastAsia="zh-CN" w:bidi="en-US"/>
        </w:rPr>
        <w:t>106.46</w:t>
      </w:r>
      <w:r>
        <w:rPr>
          <w:rFonts w:hint="eastAsia" w:ascii="仿宋" w:hAnsi="仿宋" w:eastAsia="仿宋" w:cs="仿宋"/>
          <w:sz w:val="32"/>
          <w:szCs w:val="32"/>
        </w:rPr>
        <w:t>万元，主要包括：基本工资、津贴补贴、奖金、机关事业单位基本养老保险缴费、城镇职工基本医疗保险缴费、其他社会保障缴费、住房公积金、医疗费</w:t>
      </w:r>
      <w:r>
        <w:rPr>
          <w:rFonts w:hint="eastAsia" w:ascii="仿宋" w:hAnsi="仿宋" w:eastAsia="仿宋" w:cs="仿宋"/>
          <w:sz w:val="32"/>
          <w:szCs w:val="32"/>
          <w:lang w:val="en-US" w:eastAsia="zh-CN"/>
        </w:rPr>
        <w:t>等</w:t>
      </w:r>
      <w:r>
        <w:rPr>
          <w:rFonts w:hint="eastAsia" w:ascii="仿宋" w:hAnsi="仿宋" w:eastAsia="仿宋" w:cs="仿宋"/>
          <w:sz w:val="32"/>
          <w:szCs w:val="32"/>
        </w:rPr>
        <w:t>。</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商品和服务支出</w:t>
      </w:r>
      <w:r>
        <w:rPr>
          <w:rFonts w:hint="eastAsia" w:ascii="仿宋" w:hAnsi="仿宋" w:eastAsia="仿宋" w:cs="仿宋"/>
          <w:sz w:val="32"/>
          <w:szCs w:val="32"/>
          <w:lang w:val="en-US" w:eastAsia="zh-CN"/>
        </w:rPr>
        <w:t>18.72</w:t>
      </w:r>
      <w:r>
        <w:rPr>
          <w:rFonts w:hint="eastAsia" w:ascii="仿宋" w:hAnsi="仿宋" w:eastAsia="仿宋" w:cs="仿宋"/>
          <w:sz w:val="32"/>
          <w:szCs w:val="32"/>
        </w:rPr>
        <w:t>万元，主要包括：办公费、印刷费、邮电费、差旅费、培训费、工会经费、福利费、其他交通费用、</w:t>
      </w:r>
      <w:r>
        <w:rPr>
          <w:rFonts w:hint="eastAsia" w:ascii="仿宋" w:hAnsi="仿宋" w:eastAsia="仿宋" w:cs="仿宋"/>
          <w:sz w:val="32"/>
          <w:szCs w:val="32"/>
          <w:lang w:eastAsia="zh-CN"/>
        </w:rPr>
        <w:t>公务员车补和</w:t>
      </w:r>
      <w:r>
        <w:rPr>
          <w:rFonts w:hint="eastAsia" w:ascii="仿宋" w:hAnsi="仿宋" w:eastAsia="仿宋" w:cs="仿宋"/>
          <w:sz w:val="32"/>
          <w:szCs w:val="32"/>
        </w:rPr>
        <w:t>其他商品和服务支出。</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rPr>
        <w:t>对个人和家庭的补助</w:t>
      </w:r>
      <w:r>
        <w:rPr>
          <w:rFonts w:hint="eastAsia" w:ascii="仿宋" w:hAnsi="仿宋" w:eastAsia="仿宋" w:cs="仿宋"/>
          <w:sz w:val="32"/>
          <w:szCs w:val="32"/>
          <w:lang w:val="en-US" w:eastAsia="zh-CN" w:bidi="en-US"/>
        </w:rPr>
        <w:t>10.2</w:t>
      </w:r>
      <w:r>
        <w:rPr>
          <w:rFonts w:hint="eastAsia" w:ascii="仿宋" w:hAnsi="仿宋" w:eastAsia="仿宋" w:cs="仿宋"/>
          <w:sz w:val="32"/>
          <w:szCs w:val="32"/>
        </w:rPr>
        <w:t>万元，主要包括其他对个人和家庭的补助支出。</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四、</w:t>
      </w:r>
      <w:r>
        <w:rPr>
          <w:rFonts w:hint="eastAsia" w:ascii="仿宋" w:hAnsi="仿宋" w:eastAsia="仿宋" w:cs="仿宋"/>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年政府性基金预算拨款情况说明</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年政府性基金预算拨款收入</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元；</w:t>
      </w:r>
      <w:r>
        <w:rPr>
          <w:rFonts w:hint="eastAsia" w:ascii="仿宋" w:hAnsi="仿宋" w:eastAsia="仿宋" w:cs="仿宋"/>
          <w:sz w:val="32"/>
          <w:szCs w:val="32"/>
        </w:rPr>
        <w:t>政府性基金预算拨款安排支出</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元</w:t>
      </w:r>
      <w:r>
        <w:rPr>
          <w:rFonts w:hint="eastAsia" w:ascii="仿宋" w:hAnsi="仿宋" w:eastAsia="仿宋" w:cs="仿宋"/>
          <w:sz w:val="32"/>
          <w:szCs w:val="32"/>
        </w:rPr>
        <w:t>。</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五、</w:t>
      </w:r>
      <w:r>
        <w:rPr>
          <w:rFonts w:hint="eastAsia" w:ascii="仿宋" w:hAnsi="仿宋" w:eastAsia="仿宋" w:cs="仿宋"/>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年收支预算总体情况说明</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按照综合预算管理原则，</w:t>
      </w: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所有收入和支出均纳入部门预算管理。</w:t>
      </w: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年收支总预算</w:t>
      </w:r>
      <w:r>
        <w:rPr>
          <w:rFonts w:hint="eastAsia" w:ascii="仿宋" w:hAnsi="仿宋" w:eastAsia="仿宋" w:cs="仿宋"/>
          <w:sz w:val="32"/>
          <w:szCs w:val="32"/>
          <w:lang w:val="en-US" w:eastAsia="zh-CN"/>
        </w:rPr>
        <w:t>152.38</w:t>
      </w:r>
      <w:r>
        <w:rPr>
          <w:rFonts w:hint="eastAsia" w:ascii="仿宋" w:hAnsi="仿宋" w:eastAsia="仿宋" w:cs="仿宋"/>
          <w:sz w:val="32"/>
          <w:szCs w:val="32"/>
        </w:rPr>
        <w:t>万元，收入为一般公共预算拨款收入，支出包括：社会保障支出</w:t>
      </w:r>
      <w:r>
        <w:rPr>
          <w:rFonts w:hint="eastAsia" w:ascii="仿宋" w:hAnsi="仿宋" w:eastAsia="仿宋" w:cs="仿宋"/>
          <w:sz w:val="32"/>
          <w:szCs w:val="32"/>
          <w:lang w:val="en-US" w:bidi="en-US"/>
        </w:rPr>
        <w:t>、</w:t>
      </w:r>
      <w:r>
        <w:rPr>
          <w:rFonts w:hint="eastAsia" w:ascii="仿宋" w:hAnsi="仿宋" w:eastAsia="仿宋" w:cs="仿宋"/>
          <w:sz w:val="32"/>
          <w:szCs w:val="32"/>
        </w:rPr>
        <w:t>医疗卫生与计划生育支出、住房保障支出等。</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六、</w:t>
      </w:r>
      <w:r>
        <w:rPr>
          <w:rFonts w:hint="eastAsia" w:ascii="仿宋" w:hAnsi="仿宋" w:eastAsia="仿宋" w:cs="仿宋"/>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年收入预算情况说明</w:t>
      </w:r>
    </w:p>
    <w:p>
      <w:pPr>
        <w:pStyle w:val="14"/>
        <w:shd w:val="clear" w:color="auto" w:fill="auto"/>
        <w:spacing w:before="0" w:after="0" w:line="360" w:lineRule="auto"/>
        <w:ind w:firstLine="760" w:firstLineChars="200"/>
        <w:rPr>
          <w:rFonts w:hint="eastAsia" w:ascii="仿宋" w:hAnsi="仿宋" w:eastAsia="仿宋" w:cs="仿宋"/>
          <w:sz w:val="32"/>
          <w:szCs w:val="32"/>
          <w:lang w:val="en-US" w:eastAsia="zh-CN"/>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年收入预算</w:t>
      </w:r>
      <w:r>
        <w:rPr>
          <w:rFonts w:hint="eastAsia" w:ascii="仿宋" w:hAnsi="仿宋" w:eastAsia="仿宋" w:cs="仿宋"/>
          <w:sz w:val="32"/>
          <w:szCs w:val="32"/>
          <w:lang w:val="en-US" w:eastAsia="zh-CN"/>
        </w:rPr>
        <w:t>152.38</w:t>
      </w:r>
      <w:r>
        <w:rPr>
          <w:rFonts w:hint="eastAsia" w:ascii="仿宋" w:hAnsi="仿宋" w:eastAsia="仿宋" w:cs="仿宋"/>
          <w:sz w:val="32"/>
          <w:szCs w:val="32"/>
        </w:rPr>
        <w:t>万元，其中： 一般公共预算拨款收入</w:t>
      </w:r>
      <w:r>
        <w:rPr>
          <w:rFonts w:hint="eastAsia" w:ascii="仿宋" w:hAnsi="仿宋" w:eastAsia="仿宋" w:cs="仿宋"/>
          <w:sz w:val="32"/>
          <w:szCs w:val="32"/>
          <w:lang w:val="en-US" w:eastAsia="zh-CN"/>
        </w:rPr>
        <w:t>152.38</w:t>
      </w:r>
      <w:r>
        <w:rPr>
          <w:rFonts w:hint="eastAsia" w:ascii="仿宋" w:hAnsi="仿宋" w:eastAsia="仿宋" w:cs="仿宋"/>
          <w:sz w:val="32"/>
          <w:szCs w:val="32"/>
        </w:rPr>
        <w:t>万元，占100%，比201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年预算增加</w:t>
      </w:r>
      <w:r>
        <w:rPr>
          <w:rFonts w:hint="eastAsia" w:ascii="仿宋" w:hAnsi="仿宋" w:eastAsia="仿宋" w:cs="仿宋"/>
          <w:sz w:val="32"/>
          <w:szCs w:val="32"/>
          <w:lang w:val="en-US" w:eastAsia="zh-CN"/>
        </w:rPr>
        <w:t>13.51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9.73</w:t>
      </w:r>
      <w:r>
        <w:rPr>
          <w:rFonts w:hint="eastAsia" w:ascii="仿宋" w:hAnsi="仿宋" w:eastAsia="仿宋" w:cs="仿宋"/>
          <w:sz w:val="32"/>
          <w:szCs w:val="32"/>
        </w:rPr>
        <w:t>%,增长原因主要是主要是单位人员的增加、调资以及社保医疗住房公积金的调整所产生的费用</w:t>
      </w:r>
      <w:r>
        <w:rPr>
          <w:rFonts w:hint="eastAsia" w:ascii="仿宋" w:hAnsi="仿宋" w:eastAsia="仿宋" w:cs="仿宋"/>
          <w:sz w:val="32"/>
          <w:szCs w:val="32"/>
          <w:lang w:eastAsia="zh-CN"/>
        </w:rPr>
        <w:t>。</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七、</w:t>
      </w:r>
      <w:r>
        <w:rPr>
          <w:rFonts w:hint="eastAsia" w:ascii="仿宋" w:hAnsi="仿宋" w:eastAsia="仿宋" w:cs="仿宋"/>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年支出预算情况说明</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年支出预算</w:t>
      </w:r>
      <w:r>
        <w:rPr>
          <w:rFonts w:hint="eastAsia" w:ascii="仿宋" w:hAnsi="仿宋" w:eastAsia="仿宋" w:cs="仿宋"/>
          <w:sz w:val="32"/>
          <w:szCs w:val="32"/>
          <w:lang w:val="en-US" w:eastAsia="zh-CN"/>
        </w:rPr>
        <w:t>152.38</w:t>
      </w:r>
      <w:r>
        <w:rPr>
          <w:rFonts w:hint="eastAsia" w:ascii="仿宋" w:hAnsi="仿宋" w:eastAsia="仿宋" w:cs="仿宋"/>
          <w:sz w:val="32"/>
          <w:szCs w:val="32"/>
        </w:rPr>
        <w:t>万元，比201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年预算增加</w:t>
      </w:r>
      <w:r>
        <w:rPr>
          <w:rFonts w:hint="eastAsia" w:ascii="仿宋" w:hAnsi="仿宋" w:eastAsia="仿宋" w:cs="仿宋"/>
          <w:sz w:val="32"/>
          <w:szCs w:val="32"/>
          <w:lang w:val="en-US" w:eastAsia="zh-CN"/>
        </w:rPr>
        <w:t>13.51</w:t>
      </w:r>
      <w:r>
        <w:rPr>
          <w:rFonts w:hint="eastAsia" w:ascii="仿宋" w:hAnsi="仿宋" w:eastAsia="仿宋" w:cs="仿宋"/>
          <w:sz w:val="32"/>
          <w:szCs w:val="32"/>
        </w:rPr>
        <w:t>万元，增长</w:t>
      </w:r>
      <w:r>
        <w:rPr>
          <w:rFonts w:hint="eastAsia" w:ascii="仿宋" w:hAnsi="仿宋" w:eastAsia="仿宋" w:cs="仿宋"/>
          <w:sz w:val="32"/>
          <w:szCs w:val="32"/>
          <w:lang w:val="en-US" w:eastAsia="zh-CN"/>
        </w:rPr>
        <w:t>9.73</w:t>
      </w:r>
      <w:r>
        <w:rPr>
          <w:rFonts w:hint="eastAsia" w:ascii="仿宋" w:hAnsi="仿宋" w:eastAsia="仿宋" w:cs="仿宋"/>
          <w:sz w:val="32"/>
          <w:szCs w:val="32"/>
        </w:rPr>
        <w:t>%,增长原因主要是主要是单位人员的增加、调资以及社保医疗住房公积金的调整所产生的费用。其中，基本支出</w:t>
      </w:r>
      <w:r>
        <w:rPr>
          <w:rFonts w:hint="eastAsia" w:ascii="仿宋" w:hAnsi="仿宋" w:eastAsia="仿宋" w:cs="仿宋"/>
          <w:sz w:val="32"/>
          <w:szCs w:val="32"/>
          <w:lang w:val="en-US" w:eastAsia="zh-CN"/>
        </w:rPr>
        <w:t>135.38</w:t>
      </w:r>
      <w:r>
        <w:rPr>
          <w:rFonts w:hint="eastAsia" w:ascii="仿宋" w:hAnsi="仿宋" w:eastAsia="仿宋" w:cs="仿宋"/>
          <w:sz w:val="32"/>
          <w:szCs w:val="32"/>
        </w:rPr>
        <w:t>万元，占</w:t>
      </w:r>
      <w:r>
        <w:rPr>
          <w:rFonts w:hint="eastAsia" w:ascii="仿宋" w:hAnsi="仿宋" w:eastAsia="仿宋" w:cs="仿宋"/>
          <w:sz w:val="32"/>
          <w:szCs w:val="32"/>
          <w:lang w:val="en-US" w:eastAsia="zh-CN"/>
        </w:rPr>
        <w:t>88.84</w:t>
      </w:r>
      <w:r>
        <w:rPr>
          <w:rFonts w:hint="eastAsia" w:ascii="仿宋" w:hAnsi="仿宋" w:eastAsia="仿宋" w:cs="仿宋"/>
          <w:sz w:val="32"/>
          <w:szCs w:val="32"/>
        </w:rPr>
        <w:t>%,主要用于</w:t>
      </w:r>
      <w:r>
        <w:rPr>
          <w:rFonts w:hint="eastAsia" w:ascii="仿宋" w:hAnsi="仿宋" w:eastAsia="仿宋" w:cs="仿宋"/>
          <w:sz w:val="32"/>
          <w:szCs w:val="32"/>
          <w:lang w:val="en-US" w:eastAsia="zh-CN"/>
        </w:rPr>
        <w:t>单位的基本支出</w:t>
      </w:r>
      <w:r>
        <w:rPr>
          <w:rFonts w:hint="eastAsia" w:ascii="仿宋" w:hAnsi="仿宋" w:eastAsia="仿宋" w:cs="仿宋"/>
          <w:sz w:val="32"/>
          <w:szCs w:val="32"/>
        </w:rPr>
        <w:t>；项目支出</w:t>
      </w:r>
      <w:r>
        <w:rPr>
          <w:rFonts w:hint="eastAsia" w:ascii="仿宋" w:hAnsi="仿宋" w:eastAsia="仿宋" w:cs="仿宋"/>
          <w:sz w:val="32"/>
          <w:szCs w:val="32"/>
          <w:lang w:val="en-US" w:eastAsia="zh-CN"/>
        </w:rPr>
        <w:t>17</w:t>
      </w:r>
      <w:r>
        <w:rPr>
          <w:rFonts w:hint="eastAsia" w:ascii="仿宋" w:hAnsi="仿宋" w:eastAsia="仿宋" w:cs="仿宋"/>
          <w:sz w:val="32"/>
          <w:szCs w:val="32"/>
        </w:rPr>
        <w:t>万元，占</w:t>
      </w:r>
      <w:r>
        <w:rPr>
          <w:rFonts w:hint="eastAsia" w:ascii="仿宋" w:hAnsi="仿宋" w:eastAsia="仿宋" w:cs="仿宋"/>
          <w:sz w:val="32"/>
          <w:szCs w:val="32"/>
          <w:lang w:val="en-US" w:eastAsia="zh-CN"/>
        </w:rPr>
        <w:t>11.16</w:t>
      </w:r>
      <w:r>
        <w:rPr>
          <w:rFonts w:hint="eastAsia" w:ascii="仿宋" w:hAnsi="仿宋" w:eastAsia="仿宋" w:cs="仿宋"/>
          <w:sz w:val="32"/>
          <w:szCs w:val="32"/>
        </w:rPr>
        <w:t>%,主要用于</w:t>
      </w:r>
      <w:r>
        <w:rPr>
          <w:rFonts w:hint="eastAsia" w:ascii="仿宋" w:hAnsi="仿宋" w:eastAsia="仿宋" w:cs="仿宋"/>
          <w:sz w:val="32"/>
          <w:szCs w:val="32"/>
          <w:lang w:val="en-US" w:eastAsia="zh-CN"/>
        </w:rPr>
        <w:t>单位各类项目支出</w:t>
      </w:r>
      <w:r>
        <w:rPr>
          <w:rFonts w:hint="eastAsia" w:ascii="仿宋" w:hAnsi="仿宋" w:eastAsia="仿宋" w:cs="仿宋"/>
          <w:sz w:val="32"/>
          <w:szCs w:val="32"/>
        </w:rPr>
        <w:t>。</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八、</w:t>
      </w:r>
      <w:r>
        <w:rPr>
          <w:rFonts w:hint="eastAsia" w:ascii="仿宋" w:hAnsi="仿宋" w:eastAsia="仿宋" w:cs="仿宋"/>
          <w:sz w:val="32"/>
          <w:szCs w:val="32"/>
        </w:rPr>
        <w:tab/>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年国有资本经营预算拨款情况说明</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年没有国有资本经营预算拨款收入，也没有使用国有资本经营预算拨款安排的支出。</w:t>
      </w:r>
    </w:p>
    <w:p>
      <w:pPr>
        <w:pStyle w:val="14"/>
        <w:numPr>
          <w:ilvl w:val="0"/>
          <w:numId w:val="4"/>
        </w:numPr>
        <w:shd w:val="clear" w:color="auto" w:fill="auto"/>
        <w:spacing w:before="0" w:after="0" w:line="360" w:lineRule="auto"/>
        <w:ind w:firstLine="763" w:firstLineChars="200"/>
        <w:jc w:val="both"/>
        <w:rPr>
          <w:rFonts w:ascii="仿宋" w:hAnsi="仿宋" w:eastAsia="仿宋" w:cs="仿宋"/>
          <w:b/>
          <w:bCs/>
          <w:sz w:val="32"/>
          <w:szCs w:val="32"/>
        </w:rPr>
      </w:pPr>
      <w:r>
        <w:rPr>
          <w:rFonts w:hint="eastAsia" w:ascii="仿宋" w:hAnsi="仿宋" w:eastAsia="仿宋" w:cs="仿宋"/>
          <w:b/>
          <w:bCs/>
          <w:sz w:val="32"/>
          <w:szCs w:val="32"/>
        </w:rPr>
        <w:t>项目绩效目标设置情况说明</w:t>
      </w:r>
    </w:p>
    <w:p>
      <w:pPr>
        <w:pStyle w:val="14"/>
        <w:shd w:val="clear" w:color="auto" w:fill="auto"/>
        <w:spacing w:before="0" w:after="0" w:line="360" w:lineRule="auto"/>
        <w:ind w:firstLine="760" w:firstLineChars="200"/>
        <w:jc w:val="both"/>
        <w:rPr>
          <w:rFonts w:ascii="仿宋" w:hAnsi="仿宋" w:eastAsia="仿宋" w:cs="仿宋"/>
          <w:sz w:val="32"/>
          <w:szCs w:val="32"/>
          <w:lang w:val="en-US"/>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年按照规定设置绩效目标的项目</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p>
    <w:p>
      <w:pPr>
        <w:pStyle w:val="12"/>
        <w:shd w:val="clear" w:color="auto" w:fill="auto"/>
        <w:tabs>
          <w:tab w:val="left" w:pos="1316"/>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十、</w:t>
      </w:r>
      <w:r>
        <w:rPr>
          <w:rFonts w:hint="eastAsia" w:ascii="仿宋" w:hAnsi="仿宋" w:eastAsia="仿宋" w:cs="仿宋"/>
          <w:sz w:val="32"/>
          <w:szCs w:val="32"/>
        </w:rPr>
        <w:tab/>
      </w:r>
      <w:r>
        <w:rPr>
          <w:rFonts w:hint="eastAsia" w:ascii="仿宋" w:hAnsi="仿宋" w:eastAsia="仿宋" w:cs="仿宋"/>
          <w:sz w:val="32"/>
          <w:szCs w:val="32"/>
        </w:rPr>
        <w:t>其他重要事项情况说明</w:t>
      </w:r>
    </w:p>
    <w:p>
      <w:pPr>
        <w:pStyle w:val="14"/>
        <w:shd w:val="clear" w:color="auto" w:fill="auto"/>
        <w:spacing w:before="0" w:after="0" w:line="360" w:lineRule="auto"/>
        <w:ind w:firstLine="763" w:firstLineChars="200"/>
        <w:jc w:val="both"/>
        <w:rPr>
          <w:rFonts w:hint="eastAsia" w:ascii="仿宋" w:hAnsi="仿宋" w:eastAsia="仿宋" w:cs="仿宋"/>
          <w:sz w:val="32"/>
          <w:szCs w:val="32"/>
        </w:rPr>
      </w:pPr>
      <w:r>
        <w:rPr>
          <w:rFonts w:hint="eastAsia" w:ascii="仿宋" w:hAnsi="仿宋" w:eastAsia="仿宋" w:cs="仿宋"/>
          <w:b/>
          <w:bCs/>
          <w:color w:val="000000"/>
          <w:spacing w:val="30"/>
          <w:sz w:val="32"/>
          <w:szCs w:val="32"/>
          <w:lang w:val="zh-CN" w:eastAsia="zh-CN" w:bidi="zh-CN"/>
        </w:rPr>
        <w:t>（一）</w:t>
      </w:r>
      <w:r>
        <w:rPr>
          <w:rFonts w:hint="eastAsia" w:ascii="仿宋" w:hAnsi="仿宋" w:eastAsia="仿宋" w:cs="仿宋"/>
          <w:b/>
          <w:bCs/>
          <w:color w:val="000000"/>
          <w:spacing w:val="30"/>
          <w:sz w:val="32"/>
          <w:szCs w:val="32"/>
          <w:lang w:val="zh-CN" w:eastAsia="zh-CN" w:bidi="zh-CN"/>
        </w:rPr>
        <w:tab/>
      </w:r>
      <w:r>
        <w:rPr>
          <w:rFonts w:hint="eastAsia" w:ascii="仿宋" w:hAnsi="仿宋" w:eastAsia="仿宋" w:cs="仿宋"/>
          <w:b/>
          <w:bCs/>
          <w:color w:val="000000"/>
          <w:spacing w:val="30"/>
          <w:sz w:val="32"/>
          <w:szCs w:val="32"/>
          <w:lang w:val="zh-CN" w:eastAsia="zh-CN" w:bidi="zh-CN"/>
        </w:rPr>
        <w:t>机关运行经费。</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2020年机关运行经费财政拨款预算</w:t>
      </w:r>
      <w:r>
        <w:rPr>
          <w:rFonts w:hint="eastAsia" w:ascii="仿宋" w:hAnsi="仿宋" w:eastAsia="仿宋" w:cs="仿宋"/>
          <w:sz w:val="32"/>
          <w:szCs w:val="32"/>
          <w:lang w:val="en-US" w:eastAsia="zh-CN"/>
        </w:rPr>
        <w:t>18.72</w:t>
      </w:r>
      <w:r>
        <w:rPr>
          <w:rFonts w:hint="eastAsia" w:ascii="仿宋" w:hAnsi="仿宋" w:eastAsia="仿宋" w:cs="仿宋"/>
          <w:sz w:val="32"/>
          <w:szCs w:val="32"/>
        </w:rPr>
        <w:t>万元，主要用于办公费、印刷费、水费、电费、邮电费、差旅费、维修（护）费、租赁费、会议费、培训费、公务接待费、专用材料费、被装购置费、劳务费、委托业务费、工会经费、其他交通费用</w:t>
      </w:r>
      <w:r>
        <w:rPr>
          <w:rFonts w:hint="eastAsia" w:ascii="仿宋" w:hAnsi="仿宋" w:eastAsia="仿宋" w:cs="仿宋"/>
          <w:sz w:val="32"/>
          <w:szCs w:val="32"/>
          <w:lang w:eastAsia="zh-CN"/>
        </w:rPr>
        <w:t>、公务员车补</w:t>
      </w:r>
      <w:r>
        <w:rPr>
          <w:rFonts w:hint="eastAsia" w:ascii="仿宋" w:hAnsi="仿宋" w:eastAsia="仿宋" w:cs="仿宋"/>
          <w:sz w:val="32"/>
          <w:szCs w:val="32"/>
        </w:rPr>
        <w:t>、其他商品和服务支出。</w:t>
      </w:r>
    </w:p>
    <w:p>
      <w:pPr>
        <w:pStyle w:val="12"/>
        <w:shd w:val="clear" w:color="auto" w:fill="auto"/>
        <w:tabs>
          <w:tab w:val="left" w:pos="1673"/>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rPr>
        <w:tab/>
      </w:r>
      <w:r>
        <w:rPr>
          <w:rFonts w:hint="eastAsia" w:ascii="仿宋" w:hAnsi="仿宋" w:eastAsia="仿宋" w:cs="仿宋"/>
          <w:sz w:val="32"/>
          <w:szCs w:val="32"/>
        </w:rPr>
        <w:t>政府采购情况。</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年政府采购预算总额</w:t>
      </w:r>
      <w:r>
        <w:rPr>
          <w:rFonts w:hint="eastAsia" w:ascii="仿宋" w:hAnsi="仿宋" w:eastAsia="仿宋" w:cs="仿宋"/>
          <w:sz w:val="32"/>
          <w:szCs w:val="32"/>
          <w:lang w:val="en-US" w:eastAsia="zh-CN"/>
        </w:rPr>
        <w:t>0</w:t>
      </w:r>
      <w:r>
        <w:rPr>
          <w:rFonts w:hint="eastAsia" w:ascii="仿宋" w:hAnsi="仿宋" w:eastAsia="仿宋" w:cs="仿宋"/>
          <w:sz w:val="32"/>
          <w:szCs w:val="32"/>
        </w:rPr>
        <w:t>万元。</w:t>
      </w:r>
    </w:p>
    <w:p>
      <w:pPr>
        <w:pStyle w:val="12"/>
        <w:shd w:val="clear" w:color="auto" w:fill="auto"/>
        <w:tabs>
          <w:tab w:val="left" w:pos="1673"/>
        </w:tabs>
        <w:spacing w:after="0" w:line="360" w:lineRule="auto"/>
        <w:ind w:firstLine="763" w:firstLineChars="200"/>
        <w:jc w:val="both"/>
        <w:rPr>
          <w:rFonts w:ascii="仿宋" w:hAnsi="仿宋" w:eastAsia="仿宋" w:cs="仿宋"/>
          <w:sz w:val="32"/>
          <w:szCs w:val="32"/>
        </w:rPr>
      </w:pPr>
      <w:r>
        <w:rPr>
          <w:rFonts w:hint="eastAsia" w:ascii="仿宋" w:hAnsi="仿宋" w:eastAsia="仿宋" w:cs="仿宋"/>
          <w:sz w:val="32"/>
          <w:szCs w:val="32"/>
        </w:rPr>
        <w:t>（三）</w:t>
      </w:r>
      <w:r>
        <w:rPr>
          <w:rFonts w:hint="eastAsia" w:ascii="仿宋" w:hAnsi="仿宋" w:eastAsia="仿宋" w:cs="仿宋"/>
          <w:sz w:val="32"/>
          <w:szCs w:val="32"/>
        </w:rPr>
        <w:tab/>
      </w:r>
      <w:r>
        <w:rPr>
          <w:rFonts w:hint="eastAsia" w:ascii="仿宋" w:hAnsi="仿宋" w:eastAsia="仿宋" w:cs="仿宋"/>
          <w:sz w:val="32"/>
          <w:szCs w:val="32"/>
        </w:rPr>
        <w:t>国有资产占用使用情况。</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eastAsia="zh-CN"/>
        </w:rPr>
        <w:t>石台县牯牛降景区管理中心</w:t>
      </w:r>
      <w:r>
        <w:rPr>
          <w:rFonts w:hint="eastAsia" w:ascii="仿宋" w:hAnsi="仿宋" w:eastAsia="仿宋" w:cs="仿宋"/>
          <w:sz w:val="32"/>
          <w:szCs w:val="32"/>
        </w:rPr>
        <w:t>有公务用车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，单位价值50万元以上的通用设备单位</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价值100万元以上的专用设备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年部门预算安排公务用车购置</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万元，购置公务用车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，安排购置单位价值50万元以上的通用设备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个，安排购置</w:t>
      </w:r>
      <w:r>
        <w:rPr>
          <w:rFonts w:hint="eastAsia" w:ascii="仿宋" w:hAnsi="仿宋" w:eastAsia="仿宋" w:cs="仿宋"/>
          <w:sz w:val="32"/>
          <w:szCs w:val="32"/>
        </w:rPr>
        <w:t>单位价值100万元以上专用设备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8"/>
        <w:shd w:val="clear" w:color="auto" w:fill="auto"/>
        <w:spacing w:after="0" w:line="360" w:lineRule="auto"/>
        <w:ind w:firstLine="763" w:firstLineChars="200"/>
        <w:rPr>
          <w:rFonts w:ascii="仿宋" w:hAnsi="仿宋" w:eastAsia="仿宋" w:cs="仿宋"/>
          <w:b/>
          <w:bCs/>
        </w:rPr>
      </w:pPr>
      <w:r>
        <w:rPr>
          <w:rFonts w:hint="eastAsia" w:ascii="仿宋" w:hAnsi="仿宋" w:eastAsia="仿宋" w:cs="仿宋"/>
          <w:b/>
          <w:bCs/>
        </w:rPr>
        <w:t>第三部分</w:t>
      </w:r>
      <w:r>
        <w:rPr>
          <w:rFonts w:hint="eastAsia" w:ascii="仿宋" w:hAnsi="仿宋" w:eastAsia="仿宋" w:cs="仿宋"/>
          <w:b/>
          <w:bCs/>
          <w:lang w:val="en-US"/>
        </w:rPr>
        <w:t xml:space="preserve"> </w:t>
      </w:r>
      <w:r>
        <w:rPr>
          <w:rFonts w:hint="eastAsia" w:ascii="仿宋" w:hAnsi="仿宋" w:eastAsia="仿宋" w:cs="仿宋"/>
          <w:b/>
          <w:bCs/>
        </w:rPr>
        <w:t>名词解释</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一、</w:t>
      </w:r>
      <w:r>
        <w:rPr>
          <w:rStyle w:val="16"/>
          <w:rFonts w:hint="eastAsia" w:ascii="仿宋" w:hAnsi="仿宋" w:eastAsia="仿宋" w:cs="仿宋"/>
          <w:sz w:val="32"/>
          <w:szCs w:val="32"/>
        </w:rPr>
        <w:tab/>
      </w:r>
      <w:r>
        <w:rPr>
          <w:rStyle w:val="16"/>
          <w:rFonts w:hint="eastAsia" w:ascii="仿宋" w:hAnsi="仿宋" w:eastAsia="仿宋" w:cs="仿宋"/>
          <w:sz w:val="32"/>
          <w:szCs w:val="32"/>
        </w:rPr>
        <w:t>财政拨款收入：</w:t>
      </w:r>
      <w:r>
        <w:rPr>
          <w:rFonts w:hint="eastAsia" w:ascii="仿宋" w:hAnsi="仿宋" w:eastAsia="仿宋" w:cs="仿宋"/>
          <w:sz w:val="32"/>
          <w:szCs w:val="32"/>
        </w:rPr>
        <w:t>指市财政当年拨付的资金，主要包括一般 公共预算拨款收入和政府性基金拨款收入。</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二、</w:t>
      </w:r>
      <w:r>
        <w:rPr>
          <w:rStyle w:val="16"/>
          <w:rFonts w:hint="eastAsia" w:ascii="仿宋" w:hAnsi="仿宋" w:eastAsia="仿宋" w:cs="仿宋"/>
          <w:sz w:val="32"/>
          <w:szCs w:val="32"/>
        </w:rPr>
        <w:tab/>
      </w:r>
      <w:r>
        <w:rPr>
          <w:rStyle w:val="16"/>
          <w:rFonts w:hint="eastAsia" w:ascii="仿宋" w:hAnsi="仿宋" w:eastAsia="仿宋" w:cs="仿宋"/>
          <w:sz w:val="32"/>
          <w:szCs w:val="32"/>
        </w:rPr>
        <w:t>基本支出：</w:t>
      </w:r>
      <w:r>
        <w:rPr>
          <w:rFonts w:hint="eastAsia" w:ascii="仿宋" w:hAnsi="仿宋" w:eastAsia="仿宋" w:cs="仿宋"/>
          <w:sz w:val="32"/>
          <w:szCs w:val="32"/>
        </w:rPr>
        <w:t>指为保障机构正常运转、完成日常工作任务而发生的人员支出和公用支出。</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三、</w:t>
      </w:r>
      <w:r>
        <w:rPr>
          <w:rStyle w:val="16"/>
          <w:rFonts w:hint="eastAsia" w:ascii="仿宋" w:hAnsi="仿宋" w:eastAsia="仿宋" w:cs="仿宋"/>
          <w:sz w:val="32"/>
          <w:szCs w:val="32"/>
        </w:rPr>
        <w:tab/>
      </w:r>
      <w:r>
        <w:rPr>
          <w:rStyle w:val="16"/>
          <w:rFonts w:hint="eastAsia" w:ascii="仿宋" w:hAnsi="仿宋" w:eastAsia="仿宋" w:cs="仿宋"/>
          <w:sz w:val="32"/>
          <w:szCs w:val="32"/>
        </w:rPr>
        <w:t>项目支出：</w:t>
      </w:r>
      <w:r>
        <w:rPr>
          <w:rFonts w:hint="eastAsia" w:ascii="仿宋" w:hAnsi="仿宋" w:eastAsia="仿宋" w:cs="仿宋"/>
          <w:sz w:val="32"/>
          <w:szCs w:val="32"/>
        </w:rPr>
        <w:t>指在基本支出之外为完成特定行政任务和事业 发展目标所发生的支出。</w:t>
      </w:r>
    </w:p>
    <w:p>
      <w:pPr>
        <w:pStyle w:val="14"/>
        <w:shd w:val="clear" w:color="auto" w:fill="auto"/>
        <w:tabs>
          <w:tab w:val="left" w:pos="1280"/>
        </w:tabs>
        <w:spacing w:before="0" w:after="0" w:line="360" w:lineRule="auto"/>
        <w:ind w:firstLine="763" w:firstLineChars="200"/>
        <w:jc w:val="both"/>
        <w:rPr>
          <w:rFonts w:hint="eastAsia" w:ascii="仿宋" w:hAnsi="仿宋" w:eastAsia="仿宋" w:cs="仿宋"/>
          <w:sz w:val="32"/>
          <w:szCs w:val="32"/>
        </w:rPr>
      </w:pPr>
      <w:r>
        <w:rPr>
          <w:rStyle w:val="16"/>
          <w:rFonts w:hint="eastAsia" w:ascii="仿宋" w:hAnsi="仿宋" w:eastAsia="仿宋" w:cs="仿宋"/>
          <w:sz w:val="32"/>
          <w:szCs w:val="32"/>
        </w:rPr>
        <w:t>四、</w:t>
      </w:r>
      <w:r>
        <w:rPr>
          <w:rStyle w:val="16"/>
          <w:rFonts w:hint="eastAsia" w:ascii="仿宋" w:hAnsi="仿宋" w:eastAsia="仿宋" w:cs="仿宋"/>
          <w:sz w:val="32"/>
          <w:szCs w:val="32"/>
        </w:rPr>
        <w:tab/>
      </w:r>
      <w:r>
        <w:rPr>
          <w:rStyle w:val="16"/>
          <w:rFonts w:hint="eastAsia" w:ascii="仿宋" w:hAnsi="仿宋" w:eastAsia="仿宋" w:cs="仿宋"/>
          <w:sz w:val="32"/>
          <w:szCs w:val="32"/>
        </w:rPr>
        <w:t>机关运行经费：</w:t>
      </w:r>
      <w:r>
        <w:rPr>
          <w:rFonts w:hint="eastAsia" w:ascii="仿宋" w:hAnsi="仿宋" w:eastAsia="仿宋" w:cs="仿宋"/>
          <w:sz w:val="32"/>
          <w:szCs w:val="32"/>
        </w:rPr>
        <w:t>指各部门的公用经费，包括办公及印刷费、 邮电费、差旅费、会议费、福利费、日常维修费、专用材料及一般设备购置费、办公用房水电费、办公用房取暖费、办公用房物业管理费、公务用车运行维护费以及其他费用。</w:t>
      </w:r>
    </w:p>
    <w:p>
      <w:pPr>
        <w:pStyle w:val="12"/>
        <w:shd w:val="clear" w:color="auto" w:fill="auto"/>
        <w:spacing w:after="0" w:line="538" w:lineRule="exact"/>
        <w:jc w:val="center"/>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年部门预算表（附表）</w:t>
      </w:r>
    </w:p>
    <w:p>
      <w:pPr>
        <w:pStyle w:val="14"/>
        <w:numPr>
          <w:ilvl w:val="0"/>
          <w:numId w:val="5"/>
        </w:numPr>
        <w:shd w:val="clear" w:color="auto" w:fill="auto"/>
        <w:tabs>
          <w:tab w:val="left" w:pos="38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年部门财政拨款收支预算总表</w:t>
      </w:r>
    </w:p>
    <w:p>
      <w:pPr>
        <w:pStyle w:val="14"/>
        <w:numPr>
          <w:ilvl w:val="0"/>
          <w:numId w:val="5"/>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年部门一般公共预算支出预算表</w:t>
      </w:r>
    </w:p>
    <w:p>
      <w:pPr>
        <w:pStyle w:val="14"/>
        <w:numPr>
          <w:ilvl w:val="0"/>
          <w:numId w:val="5"/>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年部门一般公共预算基本支出预算表</w:t>
      </w:r>
    </w:p>
    <w:p>
      <w:pPr>
        <w:pStyle w:val="14"/>
        <w:numPr>
          <w:ilvl w:val="0"/>
          <w:numId w:val="5"/>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年部门政府性基金预算支出预算表</w:t>
      </w:r>
    </w:p>
    <w:p>
      <w:pPr>
        <w:pStyle w:val="14"/>
        <w:numPr>
          <w:ilvl w:val="0"/>
          <w:numId w:val="5"/>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年部门收支预算总表</w:t>
      </w:r>
    </w:p>
    <w:p>
      <w:pPr>
        <w:pStyle w:val="14"/>
        <w:numPr>
          <w:ilvl w:val="0"/>
          <w:numId w:val="5"/>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年部门收入预算总表</w:t>
      </w:r>
    </w:p>
    <w:p>
      <w:pPr>
        <w:pStyle w:val="14"/>
        <w:numPr>
          <w:ilvl w:val="0"/>
          <w:numId w:val="5"/>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年部门支出预算总表</w:t>
      </w:r>
    </w:p>
    <w:p>
      <w:pPr>
        <w:pStyle w:val="14"/>
        <w:numPr>
          <w:ilvl w:val="0"/>
          <w:numId w:val="5"/>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w:t>
      </w:r>
      <w:r>
        <w:rPr>
          <w:rFonts w:hint="eastAsia" w:ascii="仿宋" w:hAnsi="仿宋" w:eastAsia="仿宋" w:cs="仿宋"/>
          <w:sz w:val="32"/>
          <w:szCs w:val="32"/>
        </w:rPr>
        <w:t>国有资本经营预算支出预算表</w:t>
      </w:r>
    </w:p>
    <w:p>
      <w:pPr>
        <w:pStyle w:val="14"/>
        <w:numPr>
          <w:ilvl w:val="0"/>
          <w:numId w:val="5"/>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年部门政府采购预算表</w:t>
      </w:r>
    </w:p>
    <w:p>
      <w:pPr>
        <w:pStyle w:val="14"/>
        <w:shd w:val="clear" w:color="auto" w:fill="auto"/>
        <w:tabs>
          <w:tab w:val="left" w:pos="1280"/>
        </w:tabs>
        <w:spacing w:before="0" w:after="0" w:line="360" w:lineRule="auto"/>
        <w:jc w:val="both"/>
        <w:rPr>
          <w:rFonts w:hint="eastAsia" w:ascii="仿宋" w:hAnsi="仿宋" w:eastAsia="仿宋" w:cs="仿宋"/>
          <w:sz w:val="32"/>
          <w:szCs w:val="32"/>
        </w:rPr>
      </w:pPr>
      <w:r>
        <w:rPr>
          <w:rFonts w:hint="eastAsia" w:ascii="仿宋" w:hAnsi="仿宋" w:eastAsia="仿宋" w:cs="仿宋"/>
          <w:sz w:val="32"/>
          <w:szCs w:val="32"/>
          <w:lang w:val="en-US"/>
        </w:rPr>
        <w:t>10.20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年政府购买服务预算表</w:t>
      </w:r>
    </w:p>
    <w:sectPr>
      <w:headerReference r:id="rId5" w:type="default"/>
      <w:footerReference r:id="rId6" w:type="default"/>
      <w:footerReference r:id="rId7" w:type="even"/>
      <w:pgSz w:w="11900" w:h="16840"/>
      <w:pgMar w:top="1586" w:right="1237" w:bottom="1616" w:left="1198"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3" o:spid="_x0000_s3073" o:spt="202" type="#_x0000_t202" style="position:absolute;left:0pt;margin-left:288.75pt;margin-top:780.6pt;height:6.25pt;width:7.45pt;mso-position-horizontal-relative:page;mso-position-vertical-relative:page;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2"/>
                  <w:shd w:val="clear" w:color="auto" w:fill="auto"/>
                  <w:spacing w:line="240" w:lineRule="auto"/>
                </w:pPr>
                <w:r>
                  <w:fldChar w:fldCharType="begin"/>
                </w:r>
                <w:r>
                  <w:instrText xml:space="preserve"> PAGE \* MERGEFORMAT </w:instrText>
                </w:r>
                <w:r>
                  <w:fldChar w:fldCharType="separate"/>
                </w:r>
                <w:r>
                  <w:rPr>
                    <w:rStyle w:val="24"/>
                    <w:rFonts w:eastAsia="PMingLiU"/>
                  </w:rPr>
                  <w:t>7</w:t>
                </w:r>
                <w:r>
                  <w:rPr>
                    <w:rStyle w:val="24"/>
                    <w:rFonts w:eastAsia="PMingLiU"/>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4" o:spid="_x0000_s3074" o:spt="202" type="#_x0000_t202" style="position:absolute;left:0pt;margin-left:288.75pt;margin-top:780.6pt;height:6.25pt;width:7.45pt;mso-position-horizontal-relative:page;mso-position-vertical-relative:page;mso-wrap-style:none;z-index:-251658240;mso-width-relative:page;mso-height-relative:page;" filled="f" stroked="f" coordsize="21600,21600">
          <v:path/>
          <v:fill on="f" focussize="0,0"/>
          <v:stroke on="f" joinstyle="miter"/>
          <v:imagedata o:title=""/>
          <o:lock v:ext="edit"/>
          <v:textbox inset="0mm,0mm,0mm,0mm" style="mso-fit-shape-to-text:t;">
            <w:txbxContent>
              <w:p>
                <w:pPr>
                  <w:pStyle w:val="22"/>
                  <w:shd w:val="clear" w:color="auto" w:fill="auto"/>
                  <w:spacing w:line="240" w:lineRule="auto"/>
                </w:pPr>
                <w:r>
                  <w:fldChar w:fldCharType="begin"/>
                </w:r>
                <w:r>
                  <w:instrText xml:space="preserve"> PAGE \* MERGEFORMAT </w:instrText>
                </w:r>
                <w:r>
                  <w:fldChar w:fldCharType="separate"/>
                </w:r>
                <w:r>
                  <w:rPr>
                    <w:rStyle w:val="24"/>
                    <w:rFonts w:eastAsia="PMingLiU"/>
                  </w:rPr>
                  <w:t>8</w:t>
                </w:r>
                <w:r>
                  <w:rPr>
                    <w:rStyle w:val="24"/>
                    <w:rFonts w:eastAsia="PMingLiU"/>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1E84A9"/>
    <w:multiLevelType w:val="singleLevel"/>
    <w:tmpl w:val="AB1E84A9"/>
    <w:lvl w:ilvl="0" w:tentative="0">
      <w:start w:val="1"/>
      <w:numFmt w:val="decimal"/>
      <w:suff w:val="nothing"/>
      <w:lvlText w:val="%1．"/>
      <w:lvlJc w:val="left"/>
      <w:pPr>
        <w:ind w:left="0" w:firstLine="400"/>
      </w:pPr>
      <w:rPr>
        <w:rFonts w:hint="default"/>
      </w:rPr>
    </w:lvl>
  </w:abstractNum>
  <w:abstractNum w:abstractNumId="1">
    <w:nsid w:val="BF205925"/>
    <w:multiLevelType w:val="singleLevel"/>
    <w:tmpl w:val="BF205925"/>
    <w:lvl w:ilvl="0" w:tentative="0">
      <w:start w:val="2"/>
      <w:numFmt w:val="decimal"/>
      <w:lvlText w:val="%1."/>
      <w:lvlJc w:val="left"/>
      <w:rPr>
        <w:rFonts w:ascii="PMingLiU" w:hAnsi="PMingLiU" w:eastAsia="PMingLiU" w:cs="PMingLiU"/>
        <w:b/>
        <w:bCs/>
        <w:i w:val="0"/>
        <w:iCs w:val="0"/>
        <w:smallCaps w:val="0"/>
        <w:strike w:val="0"/>
        <w:color w:val="000000"/>
        <w:spacing w:val="30"/>
        <w:w w:val="100"/>
        <w:position w:val="0"/>
        <w:sz w:val="30"/>
        <w:szCs w:val="30"/>
        <w:u w:val="none"/>
        <w:lang w:val="en-US" w:eastAsia="en-US" w:bidi="en-US"/>
      </w:rPr>
    </w:lvl>
  </w:abstractNum>
  <w:abstractNum w:abstractNumId="2">
    <w:nsid w:val="CF092B84"/>
    <w:multiLevelType w:val="singleLevel"/>
    <w:tmpl w:val="CF092B84"/>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abstractNum w:abstractNumId="3">
    <w:nsid w:val="0053208E"/>
    <w:multiLevelType w:val="singleLevel"/>
    <w:tmpl w:val="0053208E"/>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abstractNum w:abstractNumId="4">
    <w:nsid w:val="32E7DDA3"/>
    <w:multiLevelType w:val="singleLevel"/>
    <w:tmpl w:val="32E7DDA3"/>
    <w:lvl w:ilvl="0" w:tentative="0">
      <w:start w:val="9"/>
      <w:numFmt w:val="chineseCounting"/>
      <w:suff w:val="nothing"/>
      <w:lvlText w:val="%1、"/>
      <w:lvlJc w:val="left"/>
      <w:rPr>
        <w:rFonts w:hint="eastAsia"/>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evenAndOddHeaders w:val="1"/>
  <w:drawingGridHorizontalSpacing w:val="181"/>
  <w:drawingGridVerticalSpacing w:val="181"/>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33577B"/>
    <w:rsid w:val="00265585"/>
    <w:rsid w:val="002F2597"/>
    <w:rsid w:val="0033577B"/>
    <w:rsid w:val="004F768F"/>
    <w:rsid w:val="00641A63"/>
    <w:rsid w:val="0067705F"/>
    <w:rsid w:val="006B33A9"/>
    <w:rsid w:val="00C25BEF"/>
    <w:rsid w:val="00D6440E"/>
    <w:rsid w:val="00DA621A"/>
    <w:rsid w:val="00FB3496"/>
    <w:rsid w:val="02142107"/>
    <w:rsid w:val="02431E11"/>
    <w:rsid w:val="043E2F4A"/>
    <w:rsid w:val="04B54519"/>
    <w:rsid w:val="074910A2"/>
    <w:rsid w:val="0785427E"/>
    <w:rsid w:val="0D1A45DD"/>
    <w:rsid w:val="0D8574D2"/>
    <w:rsid w:val="0EDB2779"/>
    <w:rsid w:val="13E32373"/>
    <w:rsid w:val="14F04E9F"/>
    <w:rsid w:val="1C8D24DC"/>
    <w:rsid w:val="1D4A2712"/>
    <w:rsid w:val="1DDE2AFD"/>
    <w:rsid w:val="1F2D795C"/>
    <w:rsid w:val="21071CD9"/>
    <w:rsid w:val="24187DF0"/>
    <w:rsid w:val="24E877DF"/>
    <w:rsid w:val="250E3D3B"/>
    <w:rsid w:val="265042E5"/>
    <w:rsid w:val="276B45D1"/>
    <w:rsid w:val="28265DC8"/>
    <w:rsid w:val="283233E6"/>
    <w:rsid w:val="299D31EA"/>
    <w:rsid w:val="2C7C38A6"/>
    <w:rsid w:val="2EDA3662"/>
    <w:rsid w:val="2F142897"/>
    <w:rsid w:val="2F3D0F23"/>
    <w:rsid w:val="2FC8303B"/>
    <w:rsid w:val="332C6584"/>
    <w:rsid w:val="36344243"/>
    <w:rsid w:val="36F23E90"/>
    <w:rsid w:val="3C597A01"/>
    <w:rsid w:val="3D7A4687"/>
    <w:rsid w:val="3D81035B"/>
    <w:rsid w:val="3EA87366"/>
    <w:rsid w:val="405B5988"/>
    <w:rsid w:val="430000D7"/>
    <w:rsid w:val="460354CB"/>
    <w:rsid w:val="48105303"/>
    <w:rsid w:val="48244C84"/>
    <w:rsid w:val="48820020"/>
    <w:rsid w:val="4A972C95"/>
    <w:rsid w:val="4AA81C1E"/>
    <w:rsid w:val="4AC75B2F"/>
    <w:rsid w:val="4B894EB0"/>
    <w:rsid w:val="4E24045A"/>
    <w:rsid w:val="4E935B51"/>
    <w:rsid w:val="50E907FF"/>
    <w:rsid w:val="5AEC5011"/>
    <w:rsid w:val="5BCE528C"/>
    <w:rsid w:val="62A45082"/>
    <w:rsid w:val="6368771C"/>
    <w:rsid w:val="673D6FD7"/>
    <w:rsid w:val="6A6261E0"/>
    <w:rsid w:val="6C890CDF"/>
    <w:rsid w:val="6EC55030"/>
    <w:rsid w:val="6F5E1A94"/>
    <w:rsid w:val="6FA1255B"/>
    <w:rsid w:val="71476E78"/>
    <w:rsid w:val="79C53304"/>
    <w:rsid w:val="7AB86BD0"/>
    <w:rsid w:val="7B0E1B04"/>
    <w:rsid w:val="7D8D0811"/>
    <w:rsid w:val="7F58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Pr>
    <w:rPr>
      <w:rFonts w:ascii="Times New Roman" w:hAnsi="Times New Roman" w:eastAsia="Times New Roman" w:cs="Times New Roman"/>
      <w:color w:val="000000"/>
      <w:sz w:val="24"/>
      <w:szCs w:val="24"/>
      <w:lang w:val="zh-CN" w:eastAsia="zh-CN" w:bidi="zh-CN"/>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iPriority w:val="0"/>
    <w:rPr>
      <w:sz w:val="24"/>
    </w:rPr>
  </w:style>
  <w:style w:type="character" w:customStyle="1" w:styleId="5">
    <w:name w:val="Body text|3_"/>
    <w:basedOn w:val="4"/>
    <w:link w:val="6"/>
    <w:qFormat/>
    <w:uiPriority w:val="0"/>
    <w:rPr>
      <w:rFonts w:ascii="PMingLiU" w:hAnsi="PMingLiU" w:eastAsia="PMingLiU" w:cs="PMingLiU"/>
      <w:sz w:val="52"/>
      <w:szCs w:val="52"/>
      <w:u w:val="none"/>
    </w:rPr>
  </w:style>
  <w:style w:type="paragraph" w:customStyle="1" w:styleId="6">
    <w:name w:val="Body text|3"/>
    <w:basedOn w:val="1"/>
    <w:link w:val="5"/>
    <w:qFormat/>
    <w:uiPriority w:val="0"/>
    <w:pPr>
      <w:shd w:val="clear" w:color="auto" w:fill="FFFFFF"/>
      <w:spacing w:after="5400" w:line="1133" w:lineRule="exact"/>
      <w:jc w:val="center"/>
    </w:pPr>
    <w:rPr>
      <w:rFonts w:ascii="PMingLiU" w:hAnsi="PMingLiU" w:eastAsia="PMingLiU" w:cs="PMingLiU"/>
      <w:sz w:val="52"/>
      <w:szCs w:val="52"/>
    </w:rPr>
  </w:style>
  <w:style w:type="character" w:customStyle="1" w:styleId="7">
    <w:name w:val="Body text|3 + Times New Roman"/>
    <w:basedOn w:val="5"/>
    <w:semiHidden/>
    <w:unhideWhenUsed/>
    <w:qFormat/>
    <w:uiPriority w:val="0"/>
    <w:rPr>
      <w:rFonts w:ascii="Times New Roman" w:hAnsi="Times New Roman" w:eastAsia="Times New Roman" w:cs="Times New Roman"/>
      <w:b/>
      <w:bCs/>
      <w:color w:val="000000"/>
      <w:spacing w:val="0"/>
      <w:w w:val="100"/>
      <w:position w:val="0"/>
      <w:sz w:val="54"/>
      <w:szCs w:val="54"/>
      <w:u w:val="none"/>
      <w:lang w:val="zh-CN" w:eastAsia="zh-CN" w:bidi="zh-CN"/>
    </w:rPr>
  </w:style>
  <w:style w:type="character" w:customStyle="1" w:styleId="8">
    <w:name w:val="Body text|4_"/>
    <w:basedOn w:val="4"/>
    <w:link w:val="9"/>
    <w:qFormat/>
    <w:uiPriority w:val="0"/>
    <w:rPr>
      <w:rFonts w:ascii="PMingLiU" w:hAnsi="PMingLiU" w:eastAsia="PMingLiU" w:cs="PMingLiU"/>
      <w:sz w:val="36"/>
      <w:szCs w:val="36"/>
      <w:u w:val="none"/>
    </w:rPr>
  </w:style>
  <w:style w:type="paragraph" w:customStyle="1" w:styleId="9">
    <w:name w:val="Body text|4"/>
    <w:basedOn w:val="1"/>
    <w:link w:val="8"/>
    <w:qFormat/>
    <w:uiPriority w:val="0"/>
    <w:pPr>
      <w:shd w:val="clear" w:color="auto" w:fill="FFFFFF"/>
      <w:spacing w:before="5400" w:line="360" w:lineRule="exact"/>
    </w:pPr>
    <w:rPr>
      <w:rFonts w:ascii="PMingLiU" w:hAnsi="PMingLiU" w:eastAsia="PMingLiU" w:cs="PMingLiU"/>
      <w:sz w:val="36"/>
      <w:szCs w:val="36"/>
    </w:rPr>
  </w:style>
  <w:style w:type="character" w:customStyle="1" w:styleId="10">
    <w:name w:val="Body text|4 + Spacing 4 pt"/>
    <w:basedOn w:val="8"/>
    <w:semiHidden/>
    <w:unhideWhenUsed/>
    <w:qFormat/>
    <w:uiPriority w:val="0"/>
    <w:rPr>
      <w:rFonts w:ascii="PMingLiU" w:hAnsi="PMingLiU" w:eastAsia="PMingLiU" w:cs="PMingLiU"/>
      <w:color w:val="000000"/>
      <w:spacing w:val="80"/>
      <w:w w:val="100"/>
      <w:position w:val="0"/>
      <w:sz w:val="36"/>
      <w:szCs w:val="36"/>
      <w:u w:val="none"/>
      <w:lang w:val="zh-CN" w:eastAsia="zh-CN" w:bidi="zh-CN"/>
    </w:rPr>
  </w:style>
  <w:style w:type="character" w:customStyle="1" w:styleId="11">
    <w:name w:val="Body text|5_"/>
    <w:basedOn w:val="4"/>
    <w:link w:val="12"/>
    <w:qFormat/>
    <w:uiPriority w:val="0"/>
    <w:rPr>
      <w:rFonts w:ascii="PMingLiU" w:hAnsi="PMingLiU" w:eastAsia="PMingLiU" w:cs="PMingLiU"/>
      <w:b/>
      <w:bCs/>
      <w:spacing w:val="30"/>
      <w:sz w:val="30"/>
      <w:szCs w:val="30"/>
      <w:u w:val="none"/>
    </w:rPr>
  </w:style>
  <w:style w:type="paragraph" w:customStyle="1" w:styleId="12">
    <w:name w:val="Body text|5"/>
    <w:basedOn w:val="1"/>
    <w:link w:val="11"/>
    <w:qFormat/>
    <w:uiPriority w:val="0"/>
    <w:pPr>
      <w:shd w:val="clear" w:color="auto" w:fill="FFFFFF"/>
      <w:spacing w:after="220" w:line="300" w:lineRule="exact"/>
    </w:pPr>
    <w:rPr>
      <w:rFonts w:ascii="PMingLiU" w:hAnsi="PMingLiU" w:eastAsia="PMingLiU" w:cs="PMingLiU"/>
      <w:b/>
      <w:bCs/>
      <w:spacing w:val="30"/>
      <w:sz w:val="30"/>
      <w:szCs w:val="30"/>
    </w:rPr>
  </w:style>
  <w:style w:type="character" w:customStyle="1" w:styleId="13">
    <w:name w:val="Body text|2_"/>
    <w:basedOn w:val="4"/>
    <w:link w:val="14"/>
    <w:qFormat/>
    <w:uiPriority w:val="0"/>
    <w:rPr>
      <w:rFonts w:ascii="PMingLiU" w:hAnsi="PMingLiU" w:eastAsia="PMingLiU" w:cs="PMingLiU"/>
      <w:spacing w:val="30"/>
      <w:sz w:val="30"/>
      <w:szCs w:val="30"/>
      <w:u w:val="none"/>
    </w:rPr>
  </w:style>
  <w:style w:type="paragraph" w:customStyle="1" w:styleId="14">
    <w:name w:val="Body text|2"/>
    <w:basedOn w:val="1"/>
    <w:link w:val="13"/>
    <w:qFormat/>
    <w:uiPriority w:val="0"/>
    <w:pPr>
      <w:shd w:val="clear" w:color="auto" w:fill="FFFFFF"/>
      <w:spacing w:before="220" w:after="220" w:line="300" w:lineRule="exact"/>
    </w:pPr>
    <w:rPr>
      <w:rFonts w:ascii="PMingLiU" w:hAnsi="PMingLiU" w:eastAsia="PMingLiU" w:cs="PMingLiU"/>
      <w:spacing w:val="30"/>
      <w:sz w:val="30"/>
      <w:szCs w:val="30"/>
    </w:rPr>
  </w:style>
  <w:style w:type="character" w:customStyle="1" w:styleId="15">
    <w:name w:val="Body text|2 + Times New Roman"/>
    <w:basedOn w:val="13"/>
    <w:semiHidden/>
    <w:unhideWhenUsed/>
    <w:qFormat/>
    <w:uiPriority w:val="0"/>
    <w:rPr>
      <w:rFonts w:ascii="Times New Roman" w:hAnsi="Times New Roman" w:eastAsia="Times New Roman" w:cs="Times New Roman"/>
      <w:color w:val="000000"/>
      <w:spacing w:val="0"/>
      <w:w w:val="100"/>
      <w:position w:val="0"/>
      <w:sz w:val="34"/>
      <w:szCs w:val="34"/>
      <w:u w:val="none"/>
      <w:lang w:val="en-US" w:eastAsia="en-US" w:bidi="en-US"/>
    </w:rPr>
  </w:style>
  <w:style w:type="character" w:customStyle="1" w:styleId="16">
    <w:name w:val="Body text|2 + Bold"/>
    <w:basedOn w:val="13"/>
    <w:semiHidden/>
    <w:unhideWhenUsed/>
    <w:qFormat/>
    <w:uiPriority w:val="0"/>
    <w:rPr>
      <w:rFonts w:ascii="PMingLiU" w:hAnsi="PMingLiU" w:eastAsia="PMingLiU" w:cs="PMingLiU"/>
      <w:b/>
      <w:bCs/>
      <w:color w:val="000000"/>
      <w:spacing w:val="30"/>
      <w:w w:val="100"/>
      <w:position w:val="0"/>
      <w:sz w:val="30"/>
      <w:szCs w:val="30"/>
      <w:u w:val="none"/>
      <w:lang w:val="zh-CN" w:eastAsia="zh-CN" w:bidi="zh-CN"/>
    </w:rPr>
  </w:style>
  <w:style w:type="character" w:customStyle="1" w:styleId="17">
    <w:name w:val="Body text|6_"/>
    <w:basedOn w:val="4"/>
    <w:link w:val="18"/>
    <w:qFormat/>
    <w:uiPriority w:val="0"/>
    <w:rPr>
      <w:rFonts w:ascii="PMingLiU" w:hAnsi="PMingLiU" w:eastAsia="PMingLiU" w:cs="PMingLiU"/>
      <w:spacing w:val="30"/>
      <w:sz w:val="32"/>
      <w:szCs w:val="32"/>
      <w:u w:val="none"/>
    </w:rPr>
  </w:style>
  <w:style w:type="paragraph" w:customStyle="1" w:styleId="18">
    <w:name w:val="Body text|6"/>
    <w:basedOn w:val="1"/>
    <w:link w:val="17"/>
    <w:qFormat/>
    <w:uiPriority w:val="0"/>
    <w:pPr>
      <w:shd w:val="clear" w:color="auto" w:fill="FFFFFF"/>
      <w:spacing w:after="320" w:line="320" w:lineRule="exact"/>
      <w:jc w:val="center"/>
    </w:pPr>
    <w:rPr>
      <w:rFonts w:ascii="PMingLiU" w:hAnsi="PMingLiU" w:eastAsia="PMingLiU" w:cs="PMingLiU"/>
      <w:spacing w:val="30"/>
      <w:sz w:val="32"/>
      <w:szCs w:val="32"/>
    </w:rPr>
  </w:style>
  <w:style w:type="character" w:customStyle="1" w:styleId="19">
    <w:name w:val="Body text|2 + 12 pt"/>
    <w:basedOn w:val="13"/>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 w:type="character" w:customStyle="1" w:styleId="20">
    <w:name w:val="Body text|6 + Times New Roman"/>
    <w:basedOn w:val="17"/>
    <w:semiHidden/>
    <w:unhideWhenUsed/>
    <w:qFormat/>
    <w:uiPriority w:val="0"/>
    <w:rPr>
      <w:rFonts w:ascii="Times New Roman" w:hAnsi="Times New Roman" w:eastAsia="Times New Roman" w:cs="Times New Roman"/>
      <w:color w:val="000000"/>
      <w:spacing w:val="0"/>
      <w:w w:val="100"/>
      <w:position w:val="0"/>
      <w:sz w:val="34"/>
      <w:szCs w:val="34"/>
      <w:u w:val="none"/>
      <w:lang w:val="zh-CN" w:eastAsia="zh-CN" w:bidi="zh-CN"/>
    </w:rPr>
  </w:style>
  <w:style w:type="character" w:customStyle="1" w:styleId="21">
    <w:name w:val="Header or footer|1_"/>
    <w:basedOn w:val="4"/>
    <w:link w:val="22"/>
    <w:qFormat/>
    <w:uiPriority w:val="0"/>
    <w:rPr>
      <w:rFonts w:ascii="PMingLiU" w:hAnsi="PMingLiU" w:eastAsia="PMingLiU" w:cs="PMingLiU"/>
      <w:spacing w:val="20"/>
      <w:sz w:val="19"/>
      <w:szCs w:val="19"/>
      <w:u w:val="none"/>
    </w:rPr>
  </w:style>
  <w:style w:type="paragraph" w:customStyle="1" w:styleId="22">
    <w:name w:val="Header or footer|11"/>
    <w:basedOn w:val="1"/>
    <w:link w:val="21"/>
    <w:qFormat/>
    <w:uiPriority w:val="0"/>
    <w:pPr>
      <w:shd w:val="clear" w:color="auto" w:fill="FFFFFF"/>
      <w:spacing w:line="190" w:lineRule="exact"/>
    </w:pPr>
    <w:rPr>
      <w:rFonts w:ascii="PMingLiU" w:hAnsi="PMingLiU" w:eastAsia="PMingLiU" w:cs="PMingLiU"/>
      <w:spacing w:val="20"/>
      <w:sz w:val="19"/>
      <w:szCs w:val="19"/>
    </w:rPr>
  </w:style>
  <w:style w:type="character" w:customStyle="1" w:styleId="23">
    <w:name w:val="Header or footer|1"/>
    <w:basedOn w:val="21"/>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24">
    <w:name w:val="Header or footer|1 + Times New Roman"/>
    <w:basedOn w:val="21"/>
    <w:semiHidden/>
    <w:unhideWhenUsed/>
    <w:qFormat/>
    <w:uiPriority w:val="0"/>
    <w:rPr>
      <w:rFonts w:ascii="Times New Roman" w:hAnsi="Times New Roman" w:eastAsia="Times New Roman" w:cs="Times New Roman"/>
      <w:color w:val="000000"/>
      <w:spacing w:val="0"/>
      <w:w w:val="100"/>
      <w:position w:val="0"/>
      <w:sz w:val="18"/>
      <w:szCs w:val="18"/>
      <w:u w:val="none"/>
      <w:lang w:val="zh-CN" w:eastAsia="zh-CN" w:bidi="zh-CN"/>
    </w:rPr>
  </w:style>
  <w:style w:type="character" w:customStyle="1" w:styleId="25">
    <w:name w:val="Heading #1|1_"/>
    <w:basedOn w:val="4"/>
    <w:link w:val="26"/>
    <w:qFormat/>
    <w:uiPriority w:val="0"/>
    <w:rPr>
      <w:rFonts w:ascii="PMingLiU" w:hAnsi="PMingLiU" w:eastAsia="PMingLiU" w:cs="PMingLiU"/>
      <w:sz w:val="36"/>
      <w:szCs w:val="36"/>
      <w:u w:val="none"/>
    </w:rPr>
  </w:style>
  <w:style w:type="paragraph" w:customStyle="1" w:styleId="26">
    <w:name w:val="Heading #1|1"/>
    <w:basedOn w:val="1"/>
    <w:link w:val="25"/>
    <w:qFormat/>
    <w:uiPriority w:val="0"/>
    <w:pPr>
      <w:shd w:val="clear" w:color="auto" w:fill="FFFFFF"/>
      <w:spacing w:before="780" w:line="360" w:lineRule="exact"/>
      <w:outlineLvl w:val="0"/>
    </w:pPr>
    <w:rPr>
      <w:rFonts w:ascii="PMingLiU" w:hAnsi="PMingLiU" w:eastAsia="PMingLiU" w:cs="PMingLiU"/>
      <w:sz w:val="36"/>
      <w:szCs w:val="36"/>
    </w:rPr>
  </w:style>
  <w:style w:type="character" w:customStyle="1" w:styleId="27">
    <w:name w:val="Table caption|1_"/>
    <w:basedOn w:val="4"/>
    <w:link w:val="28"/>
    <w:qFormat/>
    <w:uiPriority w:val="0"/>
    <w:rPr>
      <w:rFonts w:ascii="PMingLiU" w:hAnsi="PMingLiU" w:eastAsia="PMingLiU" w:cs="PMingLiU"/>
      <w:sz w:val="20"/>
      <w:szCs w:val="20"/>
      <w:u w:val="none"/>
    </w:rPr>
  </w:style>
  <w:style w:type="paragraph" w:customStyle="1" w:styleId="28">
    <w:name w:val="Table caption|1"/>
    <w:basedOn w:val="1"/>
    <w:link w:val="27"/>
    <w:qFormat/>
    <w:uiPriority w:val="0"/>
    <w:pPr>
      <w:shd w:val="clear" w:color="auto" w:fill="FFFFFF"/>
      <w:spacing w:line="200" w:lineRule="exact"/>
    </w:pPr>
    <w:rPr>
      <w:rFonts w:ascii="PMingLiU" w:hAnsi="PMingLiU" w:eastAsia="PMingLiU" w:cs="PMingLiU"/>
      <w:sz w:val="20"/>
      <w:szCs w:val="20"/>
    </w:rPr>
  </w:style>
  <w:style w:type="character" w:customStyle="1" w:styleId="29">
    <w:name w:val="Table caption|1 + Spacing 2 pt"/>
    <w:basedOn w:val="27"/>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0">
    <w:name w:val="Body text|2 + 10 pt"/>
    <w:basedOn w:val="13"/>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1">
    <w:name w:val="Body text|2 + 10 pt1"/>
    <w:basedOn w:val="13"/>
    <w:semiHidden/>
    <w:unhideWhenUsed/>
    <w:qFormat/>
    <w:uiPriority w:val="0"/>
    <w:rPr>
      <w:rFonts w:ascii="PMingLiU" w:hAnsi="PMingLiU" w:eastAsia="PMingLiU" w:cs="PMingLiU"/>
      <w:color w:val="000000"/>
      <w:spacing w:val="0"/>
      <w:w w:val="100"/>
      <w:position w:val="0"/>
      <w:sz w:val="20"/>
      <w:szCs w:val="20"/>
      <w:u w:val="none"/>
      <w:lang w:val="zh-CN" w:eastAsia="zh-CN" w:bidi="zh-CN"/>
    </w:rPr>
  </w:style>
  <w:style w:type="character" w:customStyle="1" w:styleId="32">
    <w:name w:val="Body text|2 + 18 pt"/>
    <w:basedOn w:val="13"/>
    <w:semiHidden/>
    <w:unhideWhenUsed/>
    <w:qFormat/>
    <w:uiPriority w:val="0"/>
    <w:rPr>
      <w:rFonts w:ascii="PMingLiU" w:hAnsi="PMingLiU" w:eastAsia="PMingLiU" w:cs="PMingLiU"/>
      <w:color w:val="000000"/>
      <w:spacing w:val="90"/>
      <w:w w:val="60"/>
      <w:position w:val="0"/>
      <w:sz w:val="36"/>
      <w:szCs w:val="36"/>
      <w:u w:val="none"/>
      <w:lang w:val="zh-CN" w:eastAsia="zh-CN" w:bidi="zh-CN"/>
    </w:rPr>
  </w:style>
  <w:style w:type="character" w:customStyle="1" w:styleId="33">
    <w:name w:val="Body text|2 + 21 pt"/>
    <w:basedOn w:val="13"/>
    <w:semiHidden/>
    <w:unhideWhenUsed/>
    <w:qFormat/>
    <w:uiPriority w:val="0"/>
    <w:rPr>
      <w:rFonts w:ascii="PMingLiU" w:hAnsi="PMingLiU" w:eastAsia="PMingLiU" w:cs="PMingLiU"/>
      <w:color w:val="000000"/>
      <w:spacing w:val="70"/>
      <w:w w:val="90"/>
      <w:position w:val="0"/>
      <w:sz w:val="42"/>
      <w:szCs w:val="42"/>
      <w:u w:val="none"/>
      <w:lang w:val="zh-CN" w:eastAsia="zh-CN" w:bidi="zh-CN"/>
    </w:rPr>
  </w:style>
  <w:style w:type="character" w:customStyle="1" w:styleId="34">
    <w:name w:val="Body text|2 + Times New Roman1"/>
    <w:basedOn w:val="13"/>
    <w:semiHidden/>
    <w:unhideWhenUsed/>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35">
    <w:name w:val="Table caption|1 Exact"/>
    <w:basedOn w:val="4"/>
    <w:semiHidden/>
    <w:unhideWhenUsed/>
    <w:qFormat/>
    <w:uiPriority w:val="0"/>
    <w:rPr>
      <w:rFonts w:ascii="PMingLiU" w:hAnsi="PMingLiU" w:eastAsia="PMingLiU" w:cs="PMingLiU"/>
      <w:sz w:val="20"/>
      <w:szCs w:val="20"/>
      <w:u w:val="none"/>
    </w:rPr>
  </w:style>
  <w:style w:type="character" w:customStyle="1" w:styleId="36">
    <w:name w:val="Body text|7_"/>
    <w:basedOn w:val="4"/>
    <w:link w:val="37"/>
    <w:qFormat/>
    <w:uiPriority w:val="0"/>
    <w:rPr>
      <w:rFonts w:ascii="PMingLiU" w:hAnsi="PMingLiU" w:eastAsia="PMingLiU" w:cs="PMingLiU"/>
      <w:sz w:val="20"/>
      <w:szCs w:val="20"/>
      <w:u w:val="none"/>
    </w:rPr>
  </w:style>
  <w:style w:type="paragraph" w:customStyle="1" w:styleId="37">
    <w:name w:val="Body text|7"/>
    <w:basedOn w:val="1"/>
    <w:link w:val="36"/>
    <w:qFormat/>
    <w:uiPriority w:val="0"/>
    <w:pPr>
      <w:shd w:val="clear" w:color="auto" w:fill="FFFFFF"/>
      <w:spacing w:after="320" w:line="200" w:lineRule="exact"/>
      <w:jc w:val="right"/>
    </w:pPr>
    <w:rPr>
      <w:rFonts w:ascii="PMingLiU" w:hAnsi="PMingLiU" w:eastAsia="PMingLiU" w:cs="PMingLiU"/>
      <w:sz w:val="20"/>
      <w:szCs w:val="20"/>
    </w:rPr>
  </w:style>
  <w:style w:type="character" w:customStyle="1" w:styleId="38">
    <w:name w:val="Header or footer|1 + Times New Roman1"/>
    <w:basedOn w:val="21"/>
    <w:semiHidden/>
    <w:unhideWhenUsed/>
    <w:qFormat/>
    <w:uiPriority w:val="0"/>
    <w:rPr>
      <w:rFonts w:ascii="Times New Roman" w:hAnsi="Times New Roman" w:eastAsia="Times New Roman" w:cs="Times New Roman"/>
      <w:color w:val="000000"/>
      <w:spacing w:val="0"/>
      <w:w w:val="100"/>
      <w:position w:val="0"/>
      <w:sz w:val="11"/>
      <w:szCs w:val="11"/>
      <w:u w:val="none"/>
      <w:lang w:val="en-US" w:eastAsia="en-US" w:bidi="en-US"/>
    </w:rPr>
  </w:style>
  <w:style w:type="character" w:customStyle="1" w:styleId="39">
    <w:name w:val="Header or footer|1 + 10 pt"/>
    <w:basedOn w:val="21"/>
    <w:semiHidden/>
    <w:unhideWhenUsed/>
    <w:qFormat/>
    <w:uiPriority w:val="0"/>
    <w:rPr>
      <w:rFonts w:ascii="PMingLiU" w:hAnsi="PMingLiU" w:eastAsia="PMingLiU" w:cs="PMingLiU"/>
      <w:color w:val="000000"/>
      <w:spacing w:val="30"/>
      <w:w w:val="80"/>
      <w:position w:val="0"/>
      <w:sz w:val="20"/>
      <w:szCs w:val="20"/>
      <w:u w:val="none"/>
      <w:lang w:val="zh-CN" w:eastAsia="zh-CN" w:bidi="zh-CN"/>
    </w:rPr>
  </w:style>
  <w:style w:type="character" w:customStyle="1" w:styleId="40">
    <w:name w:val="Header or footer|1 + Times New Roman2"/>
    <w:basedOn w:val="21"/>
    <w:semiHidden/>
    <w:unhideWhenUsed/>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41">
    <w:name w:val="Body text|2 + 10.5 pt"/>
    <w:basedOn w:val="13"/>
    <w:semiHidden/>
    <w:unhideWhenUsed/>
    <w:qFormat/>
    <w:uiPriority w:val="0"/>
    <w:rPr>
      <w:rFonts w:ascii="PMingLiU" w:hAnsi="PMingLiU" w:eastAsia="PMingLiU" w:cs="PMingLiU"/>
      <w:color w:val="000000"/>
      <w:spacing w:val="60"/>
      <w:w w:val="100"/>
      <w:position w:val="0"/>
      <w:sz w:val="21"/>
      <w:szCs w:val="21"/>
      <w:u w:val="none"/>
      <w:lang w:val="zh-CN" w:eastAsia="zh-CN" w:bidi="zh-CN"/>
    </w:rPr>
  </w:style>
  <w:style w:type="character" w:customStyle="1" w:styleId="42">
    <w:name w:val="Body text|5 + 5 pt"/>
    <w:basedOn w:val="11"/>
    <w:semiHidden/>
    <w:unhideWhenUsed/>
    <w:qFormat/>
    <w:uiPriority w:val="0"/>
    <w:rPr>
      <w:rFonts w:ascii="PMingLiU" w:hAnsi="PMingLiU" w:eastAsia="PMingLiU" w:cs="PMingLiU"/>
      <w:color w:val="000000"/>
      <w:spacing w:val="30"/>
      <w:w w:val="100"/>
      <w:position w:val="0"/>
      <w:sz w:val="10"/>
      <w:szCs w:val="10"/>
      <w:u w:val="none"/>
      <w:lang w:val="zh-CN" w:eastAsia="zh-CN" w:bidi="zh-CN"/>
    </w:rPr>
  </w:style>
  <w:style w:type="character" w:customStyle="1" w:styleId="43">
    <w:name w:val="Body text|5 + Not Bold"/>
    <w:basedOn w:val="11"/>
    <w:semiHidden/>
    <w:unhideWhenUsed/>
    <w:qFormat/>
    <w:uiPriority w:val="0"/>
    <w:rPr>
      <w:rFonts w:ascii="PMingLiU" w:hAnsi="PMingLiU" w:eastAsia="PMingLiU" w:cs="PMingLiU"/>
      <w:color w:val="000000"/>
      <w:spacing w:val="0"/>
      <w:w w:val="100"/>
      <w:position w:val="0"/>
      <w:sz w:val="30"/>
      <w:szCs w:val="30"/>
      <w:u w:val="none"/>
      <w:lang w:val="zh-CN" w:eastAsia="zh-CN" w:bidi="zh-CN"/>
    </w:rPr>
  </w:style>
  <w:style w:type="character" w:customStyle="1" w:styleId="44">
    <w:name w:val="Body text|8_"/>
    <w:basedOn w:val="4"/>
    <w:link w:val="45"/>
    <w:qFormat/>
    <w:uiPriority w:val="0"/>
    <w:rPr>
      <w:rFonts w:ascii="PMingLiU" w:hAnsi="PMingLiU" w:eastAsia="PMingLiU" w:cs="PMingLiU"/>
      <w:sz w:val="30"/>
      <w:szCs w:val="30"/>
      <w:u w:val="none"/>
    </w:rPr>
  </w:style>
  <w:style w:type="paragraph" w:customStyle="1" w:styleId="45">
    <w:name w:val="Body text|8"/>
    <w:basedOn w:val="1"/>
    <w:link w:val="44"/>
    <w:qFormat/>
    <w:uiPriority w:val="0"/>
    <w:pPr>
      <w:shd w:val="clear" w:color="auto" w:fill="FFFFFF"/>
      <w:spacing w:line="600" w:lineRule="exact"/>
      <w:ind w:firstLine="720"/>
      <w:jc w:val="distribute"/>
    </w:pPr>
    <w:rPr>
      <w:rFonts w:ascii="PMingLiU" w:hAnsi="PMingLiU" w:eastAsia="PMingLiU" w:cs="PMingLiU"/>
      <w:sz w:val="30"/>
      <w:szCs w:val="30"/>
    </w:rPr>
  </w:style>
  <w:style w:type="character" w:customStyle="1" w:styleId="46">
    <w:name w:val="Body text|2 + 12 pt1"/>
    <w:basedOn w:val="13"/>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 w:type="paragraph" w:customStyle="1" w:styleId="47">
    <w:name w:val="p0"/>
    <w:basedOn w:val="1"/>
    <w:qFormat/>
    <w:uiPriority w:val="0"/>
    <w:pPr>
      <w:widowControl/>
    </w:pPr>
    <w:rPr>
      <w:rFonts w:ascii="仿宋_GB2312" w:hAnsi="宋体" w:eastAsia="仿宋_GB2312" w:cs="宋体"/>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NUL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418</Words>
  <Characters>2386</Characters>
  <Lines>19</Lines>
  <Paragraphs>5</Paragraphs>
  <TotalTime>2</TotalTime>
  <ScaleCrop>false</ScaleCrop>
  <LinksUpToDate>false</LinksUpToDate>
  <CharactersWithSpaces>2799</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2019-01-17T03:01:00Z</dcterms:created>
  <dc:creator>Administrator</dc:creator>
  <cp:lastModifiedBy>Administrator</cp:lastModifiedBy>
  <cp:lastPrinted>2019-02-18T00:59:00Z</cp:lastPrinted>
  <dcterms:modified xsi:type="dcterms:W3CDTF">2020-03-16T05:36:19Z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