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hd w:val="clear" w:color="auto" w:fill="auto"/>
        <w:spacing w:after="0" w:line="900" w:lineRule="exact"/>
        <w:rPr>
          <w:b/>
          <w:bCs/>
        </w:rPr>
      </w:pPr>
      <w:r>
        <w:rPr>
          <w:rFonts w:hint="eastAsia" w:eastAsiaTheme="minorEastAsia"/>
          <w:b/>
          <w:bCs/>
        </w:rPr>
        <w:t>石台县</w:t>
      </w:r>
      <w:r>
        <w:rPr>
          <w:rFonts w:hint="eastAsia" w:eastAsiaTheme="minorEastAsia"/>
          <w:b/>
          <w:bCs/>
          <w:lang w:val="en-US" w:eastAsia="zh-CN"/>
        </w:rPr>
        <w:t>委统战部</w:t>
      </w:r>
      <w:r>
        <w:rPr>
          <w:b/>
          <w:bCs/>
        </w:rPr>
        <w:br w:type="textWrapping"/>
      </w:r>
      <w:r>
        <w:rPr>
          <w:rStyle w:val="6"/>
          <w:rFonts w:hint="eastAsia" w:eastAsia="PMingLiU"/>
        </w:rPr>
        <w:t>2019年</w:t>
      </w:r>
      <w:r>
        <w:rPr>
          <w:b/>
          <w:bCs/>
        </w:rPr>
        <w:t>部门预算</w:t>
      </w:r>
    </w:p>
    <w:p>
      <w:pPr>
        <w:pStyle w:val="5"/>
        <w:shd w:val="clear" w:color="auto" w:fill="auto"/>
        <w:spacing w:after="0" w:line="560" w:lineRule="exact"/>
      </w:pPr>
    </w:p>
    <w:p>
      <w:pPr>
        <w:pStyle w:val="5"/>
        <w:shd w:val="clear" w:color="auto" w:fill="auto"/>
        <w:spacing w:after="0" w:line="560" w:lineRule="exact"/>
      </w:pPr>
    </w:p>
    <w:p>
      <w:pPr>
        <w:pStyle w:val="5"/>
        <w:shd w:val="clear" w:color="auto" w:fill="auto"/>
        <w:spacing w:after="0" w:line="560" w:lineRule="exact"/>
      </w:pPr>
    </w:p>
    <w:p>
      <w:pPr>
        <w:pStyle w:val="5"/>
        <w:shd w:val="clear" w:color="auto" w:fill="auto"/>
        <w:spacing w:after="0" w:line="560" w:lineRule="exact"/>
      </w:pPr>
    </w:p>
    <w:p>
      <w:pPr>
        <w:pStyle w:val="5"/>
        <w:shd w:val="clear" w:color="auto" w:fill="auto"/>
        <w:spacing w:after="0" w:line="560" w:lineRule="exact"/>
      </w:pPr>
    </w:p>
    <w:p>
      <w:pPr>
        <w:pStyle w:val="5"/>
        <w:shd w:val="clear" w:color="auto" w:fill="auto"/>
        <w:spacing w:after="0" w:line="560" w:lineRule="exact"/>
      </w:pPr>
    </w:p>
    <w:p>
      <w:pPr>
        <w:pStyle w:val="5"/>
        <w:shd w:val="clear" w:color="auto" w:fill="auto"/>
        <w:spacing w:after="0" w:line="560" w:lineRule="exact"/>
      </w:pPr>
    </w:p>
    <w:p>
      <w:pPr>
        <w:pStyle w:val="5"/>
        <w:shd w:val="clear" w:color="auto" w:fill="auto"/>
        <w:spacing w:after="0" w:line="560" w:lineRule="exact"/>
      </w:pPr>
    </w:p>
    <w:p>
      <w:pPr>
        <w:pStyle w:val="5"/>
        <w:shd w:val="clear" w:color="auto" w:fill="auto"/>
        <w:spacing w:after="0" w:line="560" w:lineRule="exact"/>
        <w:jc w:val="both"/>
      </w:pPr>
    </w:p>
    <w:p>
      <w:pPr>
        <w:pStyle w:val="5"/>
        <w:shd w:val="clear" w:color="auto" w:fill="auto"/>
        <w:spacing w:after="0" w:line="560" w:lineRule="exact"/>
        <w:rPr>
          <w:lang w:val="en-US"/>
        </w:rPr>
        <w:sectPr>
          <w:pgSz w:w="11900" w:h="16840"/>
          <w:pgMar w:top="4790" w:right="3555" w:bottom="3554" w:left="3147" w:header="0" w:footer="3" w:gutter="0"/>
          <w:cols w:space="720" w:num="1"/>
          <w:docGrid w:linePitch="360" w:charSpace="0"/>
        </w:sectPr>
      </w:pPr>
      <w:r>
        <w:rPr>
          <w:rStyle w:val="9"/>
          <w:rFonts w:hint="eastAsia"/>
        </w:rPr>
        <w:t>2019年</w:t>
      </w:r>
      <w:r>
        <w:rPr>
          <w:rStyle w:val="9"/>
          <w:lang w:val="en-US"/>
        </w:rPr>
        <w:t>1</w:t>
      </w:r>
      <w:r>
        <w:rPr>
          <w:rStyle w:val="9"/>
        </w:rPr>
        <w:t>月</w:t>
      </w:r>
      <w:r>
        <w:rPr>
          <w:rStyle w:val="9"/>
          <w:rFonts w:hint="eastAsia"/>
          <w:lang w:val="en-US"/>
        </w:rPr>
        <w:t>1</w:t>
      </w:r>
      <w:r>
        <w:rPr>
          <w:rStyle w:val="9"/>
          <w:lang w:val="en-US"/>
        </w:rPr>
        <w:t>0</w:t>
      </w:r>
    </w:p>
    <w:p>
      <w:pPr>
        <w:spacing w:before="65" w:after="65" w:line="240" w:lineRule="exact"/>
        <w:ind w:firstLine="4498" w:firstLineChars="1400"/>
        <w:jc w:val="left"/>
        <w:rPr>
          <w:rFonts w:hint="default" w:eastAsia="宋体"/>
          <w:b/>
          <w:bCs/>
          <w:sz w:val="32"/>
          <w:szCs w:val="32"/>
          <w:lang w:val="en-US" w:eastAsia="zh-CN"/>
        </w:rPr>
      </w:pPr>
      <w:r>
        <w:rPr>
          <w:rFonts w:hint="eastAsia" w:eastAsia="宋体"/>
          <w:b/>
          <w:bCs/>
          <w:sz w:val="32"/>
          <w:szCs w:val="32"/>
          <w:lang w:eastAsia="zh-CN"/>
        </w:rPr>
        <w:t>目</w:t>
      </w:r>
      <w:r>
        <w:rPr>
          <w:rFonts w:hint="eastAsia" w:eastAsia="宋体"/>
          <w:b/>
          <w:bCs/>
          <w:sz w:val="32"/>
          <w:szCs w:val="32"/>
          <w:lang w:val="en-US" w:eastAsia="zh-CN"/>
        </w:rPr>
        <w:t xml:space="preserve">  </w:t>
      </w:r>
      <w:r>
        <w:rPr>
          <w:rFonts w:hint="eastAsia" w:eastAsia="宋体"/>
          <w:b/>
          <w:bCs/>
          <w:sz w:val="32"/>
          <w:szCs w:val="32"/>
          <w:lang w:eastAsia="zh-CN"/>
        </w:rPr>
        <w:t>录</w:t>
      </w:r>
      <w:r>
        <w:rPr>
          <w:rFonts w:hint="eastAsia" w:eastAsia="宋体"/>
          <w:b/>
          <w:bCs/>
          <w:sz w:val="32"/>
          <w:szCs w:val="32"/>
          <w:lang w:val="en-US" w:eastAsia="zh-CN"/>
        </w:rPr>
        <w:t xml:space="preserve"> </w:t>
      </w:r>
    </w:p>
    <w:p>
      <w:pPr>
        <w:spacing w:before="65" w:after="65" w:line="240" w:lineRule="exact"/>
        <w:ind w:firstLine="6400" w:firstLineChars="2000"/>
        <w:jc w:val="left"/>
        <w:rPr>
          <w:rFonts w:hint="eastAsia" w:eastAsia="宋体"/>
          <w:sz w:val="32"/>
          <w:szCs w:val="32"/>
          <w:lang w:eastAsia="zh-CN"/>
        </w:rPr>
      </w:pPr>
    </w:p>
    <w:p>
      <w:pPr>
        <w:pStyle w:val="11"/>
        <w:shd w:val="clear" w:color="auto" w:fill="auto"/>
        <w:rPr>
          <w:rFonts w:ascii="仿宋" w:hAnsi="仿宋" w:eastAsia="仿宋" w:cs="仿宋"/>
          <w:sz w:val="32"/>
          <w:szCs w:val="32"/>
        </w:rPr>
      </w:pPr>
      <w:r>
        <w:rPr>
          <w:rFonts w:hint="eastAsia" w:ascii="仿宋" w:hAnsi="仿宋" w:eastAsia="仿宋" w:cs="仿宋"/>
          <w:sz w:val="32"/>
          <w:szCs w:val="32"/>
        </w:rPr>
        <w:t>第一部分</w:t>
      </w:r>
      <w:r>
        <w:rPr>
          <w:rFonts w:hint="eastAsia" w:ascii="仿宋" w:hAnsi="仿宋" w:eastAsia="仿宋" w:cs="仿宋"/>
          <w:sz w:val="32"/>
          <w:szCs w:val="32"/>
          <w:lang w:val="en-US"/>
        </w:rPr>
        <w:t xml:space="preserve"> </w:t>
      </w:r>
      <w:r>
        <w:rPr>
          <w:rFonts w:hint="eastAsia" w:ascii="仿宋" w:hAnsi="仿宋" w:eastAsia="仿宋" w:cs="仿宋"/>
          <w:sz w:val="32"/>
          <w:szCs w:val="32"/>
        </w:rPr>
        <w:t>部门概况</w:t>
      </w:r>
    </w:p>
    <w:p>
      <w:pPr>
        <w:pStyle w:val="13"/>
        <w:numPr>
          <w:ilvl w:val="0"/>
          <w:numId w:val="1"/>
        </w:numPr>
        <w:shd w:val="clear" w:color="auto" w:fill="auto"/>
        <w:tabs>
          <w:tab w:val="left" w:pos="382"/>
        </w:tabs>
        <w:spacing w:before="0"/>
        <w:rPr>
          <w:rFonts w:ascii="仿宋" w:hAnsi="仿宋" w:eastAsia="仿宋" w:cs="仿宋"/>
          <w:sz w:val="32"/>
          <w:szCs w:val="32"/>
        </w:rPr>
      </w:pPr>
      <w:r>
        <w:rPr>
          <w:rFonts w:hint="eastAsia" w:ascii="仿宋" w:hAnsi="仿宋" w:eastAsia="仿宋" w:cs="仿宋"/>
          <w:sz w:val="32"/>
          <w:szCs w:val="32"/>
        </w:rPr>
        <w:t>主要职责</w:t>
      </w:r>
    </w:p>
    <w:p>
      <w:pPr>
        <w:pStyle w:val="13"/>
        <w:numPr>
          <w:ilvl w:val="0"/>
          <w:numId w:val="1"/>
        </w:numPr>
        <w:shd w:val="clear" w:color="auto" w:fill="auto"/>
        <w:tabs>
          <w:tab w:val="left" w:pos="392"/>
        </w:tabs>
        <w:spacing w:before="0" w:after="30"/>
        <w:rPr>
          <w:rFonts w:ascii="仿宋" w:hAnsi="仿宋" w:eastAsia="仿宋" w:cs="仿宋"/>
          <w:sz w:val="32"/>
          <w:szCs w:val="32"/>
        </w:rPr>
      </w:pPr>
      <w:r>
        <w:rPr>
          <w:rFonts w:hint="eastAsia" w:ascii="仿宋" w:hAnsi="仿宋" w:eastAsia="仿宋" w:cs="仿宋"/>
          <w:sz w:val="32"/>
          <w:szCs w:val="32"/>
        </w:rPr>
        <w:t>部门预算单位构成</w:t>
      </w:r>
    </w:p>
    <w:p>
      <w:pPr>
        <w:pStyle w:val="13"/>
        <w:numPr>
          <w:ilvl w:val="0"/>
          <w:numId w:val="1"/>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2019年度主要工作任务</w:t>
      </w:r>
    </w:p>
    <w:p>
      <w:pPr>
        <w:pStyle w:val="11"/>
        <w:shd w:val="clear" w:color="auto" w:fill="auto"/>
        <w:spacing w:after="0" w:line="538" w:lineRule="exact"/>
        <w:rPr>
          <w:rFonts w:ascii="仿宋" w:hAnsi="仿宋" w:eastAsia="仿宋" w:cs="仿宋"/>
          <w:sz w:val="32"/>
          <w:szCs w:val="32"/>
        </w:rPr>
      </w:pPr>
      <w:r>
        <w:rPr>
          <w:rFonts w:hint="eastAsia" w:ascii="仿宋" w:hAnsi="仿宋" w:eastAsia="仿宋" w:cs="仿宋"/>
          <w:sz w:val="32"/>
          <w:szCs w:val="32"/>
        </w:rPr>
        <w:t>第二部分</w:t>
      </w:r>
      <w:r>
        <w:rPr>
          <w:rFonts w:hint="eastAsia" w:ascii="仿宋" w:hAnsi="仿宋" w:eastAsia="仿宋" w:cs="仿宋"/>
          <w:sz w:val="32"/>
          <w:szCs w:val="32"/>
          <w:lang w:val="en-US"/>
        </w:rPr>
        <w:t xml:space="preserve"> </w:t>
      </w:r>
      <w:r>
        <w:rPr>
          <w:rFonts w:hint="eastAsia" w:ascii="仿宋" w:hAnsi="仿宋" w:eastAsia="仿宋" w:cs="仿宋"/>
          <w:sz w:val="32"/>
          <w:szCs w:val="32"/>
        </w:rPr>
        <w:t>2019年部门预算情况说明</w:t>
      </w:r>
    </w:p>
    <w:p>
      <w:pPr>
        <w:pStyle w:val="11"/>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1.关于2019年财政拨款收支预算总体情况说明</w:t>
      </w:r>
      <w:bookmarkStart w:id="0" w:name="_GoBack"/>
      <w:bookmarkEnd w:id="0"/>
    </w:p>
    <w:p>
      <w:pPr>
        <w:pStyle w:val="11"/>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2.关于2019年一般公共预算财政拨款情况说明</w:t>
      </w:r>
    </w:p>
    <w:p>
      <w:pPr>
        <w:pStyle w:val="11"/>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3.关于2019年一般公共预算基本支出情况说明</w:t>
      </w:r>
    </w:p>
    <w:p>
      <w:pPr>
        <w:pStyle w:val="11"/>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4.关于2019年政府性基金预算拨款情况说明</w:t>
      </w:r>
    </w:p>
    <w:p>
      <w:pPr>
        <w:pStyle w:val="11"/>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5</w:t>
      </w:r>
      <w:r>
        <w:rPr>
          <w:rFonts w:hint="eastAsia" w:ascii="仿宋" w:hAnsi="仿宋" w:eastAsia="仿宋" w:cs="仿宋"/>
          <w:b w:val="0"/>
          <w:bCs w:val="0"/>
          <w:sz w:val="32"/>
          <w:szCs w:val="32"/>
        </w:rPr>
        <w:t>.关于2019年收支预算总体情况说明</w:t>
      </w:r>
    </w:p>
    <w:p>
      <w:pPr>
        <w:pStyle w:val="11"/>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6</w:t>
      </w:r>
      <w:r>
        <w:rPr>
          <w:rFonts w:hint="eastAsia" w:ascii="仿宋" w:hAnsi="仿宋" w:eastAsia="仿宋" w:cs="仿宋"/>
          <w:b w:val="0"/>
          <w:bCs w:val="0"/>
          <w:sz w:val="32"/>
          <w:szCs w:val="32"/>
        </w:rPr>
        <w:t>.关于2019年收入预算情况说明</w:t>
      </w:r>
    </w:p>
    <w:p>
      <w:pPr>
        <w:pStyle w:val="11"/>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7</w:t>
      </w:r>
      <w:r>
        <w:rPr>
          <w:rFonts w:hint="eastAsia" w:ascii="仿宋" w:hAnsi="仿宋" w:eastAsia="仿宋" w:cs="仿宋"/>
          <w:b w:val="0"/>
          <w:bCs w:val="0"/>
          <w:sz w:val="32"/>
          <w:szCs w:val="32"/>
        </w:rPr>
        <w:t>.关于2019年支出预算情况说明</w:t>
      </w:r>
    </w:p>
    <w:p>
      <w:pPr>
        <w:pStyle w:val="11"/>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8</w:t>
      </w:r>
      <w:r>
        <w:rPr>
          <w:rFonts w:hint="eastAsia" w:ascii="仿宋" w:hAnsi="仿宋" w:eastAsia="仿宋" w:cs="仿宋"/>
          <w:b w:val="0"/>
          <w:bCs w:val="0"/>
          <w:sz w:val="32"/>
          <w:szCs w:val="32"/>
        </w:rPr>
        <w:t>.关于2019年国有资本经营预算拨款情况说明</w:t>
      </w:r>
    </w:p>
    <w:p>
      <w:pPr>
        <w:pStyle w:val="11"/>
        <w:shd w:val="clear" w:color="auto" w:fill="auto"/>
        <w:spacing w:after="0" w:line="538" w:lineRule="exact"/>
        <w:rPr>
          <w:rFonts w:ascii="仿宋" w:hAnsi="仿宋" w:eastAsia="仿宋" w:cs="仿宋"/>
          <w:b w:val="0"/>
          <w:bCs w:val="0"/>
          <w:sz w:val="32"/>
          <w:szCs w:val="32"/>
          <w:lang w:val="en-US"/>
        </w:rPr>
      </w:pPr>
      <w:r>
        <w:rPr>
          <w:rFonts w:hint="eastAsia" w:ascii="仿宋" w:hAnsi="仿宋" w:eastAsia="仿宋" w:cs="仿宋"/>
          <w:b w:val="0"/>
          <w:bCs w:val="0"/>
          <w:sz w:val="32"/>
          <w:szCs w:val="32"/>
          <w:lang w:val="en-US"/>
        </w:rPr>
        <w:t>9.批复绩效目标的项目及绩效目标设置情况说明</w:t>
      </w:r>
    </w:p>
    <w:p>
      <w:pPr>
        <w:pStyle w:val="11"/>
        <w:shd w:val="clear" w:color="auto" w:fill="auto"/>
        <w:spacing w:after="0" w:line="538" w:lineRule="exact"/>
        <w:rPr>
          <w:rFonts w:ascii="仿宋" w:hAnsi="仿宋" w:eastAsia="仿宋" w:cs="仿宋"/>
          <w:b w:val="0"/>
          <w:bCs w:val="0"/>
          <w:sz w:val="32"/>
          <w:szCs w:val="32"/>
          <w:highlight w:val="yellow"/>
        </w:rPr>
      </w:pPr>
      <w:r>
        <w:rPr>
          <w:rFonts w:hint="eastAsia" w:ascii="仿宋" w:hAnsi="仿宋" w:eastAsia="仿宋" w:cs="仿宋"/>
          <w:b w:val="0"/>
          <w:bCs w:val="0"/>
          <w:sz w:val="32"/>
          <w:szCs w:val="32"/>
          <w:lang w:val="en-US"/>
        </w:rPr>
        <w:t>10</w:t>
      </w:r>
      <w:r>
        <w:rPr>
          <w:rFonts w:hint="eastAsia" w:ascii="仿宋" w:hAnsi="仿宋" w:eastAsia="仿宋" w:cs="仿宋"/>
          <w:b w:val="0"/>
          <w:bCs w:val="0"/>
          <w:sz w:val="32"/>
          <w:szCs w:val="32"/>
        </w:rPr>
        <w:t xml:space="preserve">.其他重要事项情况说明（含机关运行经费、政府采购预算、政府购买服务预算、国有资产占用情况等说明） </w:t>
      </w:r>
    </w:p>
    <w:p>
      <w:pPr>
        <w:pStyle w:val="13"/>
        <w:shd w:val="clear" w:color="auto" w:fill="auto"/>
        <w:tabs>
          <w:tab w:val="left" w:pos="392"/>
        </w:tabs>
        <w:spacing w:before="0" w:after="0" w:line="538" w:lineRule="exact"/>
        <w:rPr>
          <w:rFonts w:ascii="仿宋" w:hAnsi="仿宋" w:eastAsia="仿宋" w:cs="仿宋"/>
          <w:sz w:val="32"/>
          <w:szCs w:val="32"/>
        </w:rPr>
      </w:pPr>
      <w:r>
        <w:rPr>
          <w:rStyle w:val="15"/>
          <w:rFonts w:hint="eastAsia" w:ascii="仿宋" w:hAnsi="仿宋" w:eastAsia="仿宋" w:cs="仿宋"/>
          <w:sz w:val="32"/>
          <w:szCs w:val="32"/>
        </w:rPr>
        <w:t>第三部分</w:t>
      </w:r>
      <w:r>
        <w:rPr>
          <w:rStyle w:val="15"/>
          <w:rFonts w:hint="eastAsia" w:ascii="仿宋" w:hAnsi="仿宋" w:eastAsia="仿宋" w:cs="仿宋"/>
          <w:sz w:val="32"/>
          <w:szCs w:val="32"/>
          <w:lang w:val="en-US"/>
        </w:rPr>
        <w:t xml:space="preserve"> </w:t>
      </w:r>
      <w:r>
        <w:rPr>
          <w:rStyle w:val="15"/>
          <w:rFonts w:hint="eastAsia" w:ascii="仿宋" w:hAnsi="仿宋" w:eastAsia="仿宋" w:cs="仿宋"/>
          <w:sz w:val="32"/>
          <w:szCs w:val="32"/>
        </w:rPr>
        <w:t>名词解释</w:t>
      </w:r>
    </w:p>
    <w:p>
      <w:pPr>
        <w:pStyle w:val="11"/>
        <w:shd w:val="clear" w:color="auto" w:fill="auto"/>
        <w:spacing w:after="0" w:line="538" w:lineRule="exact"/>
        <w:rPr>
          <w:rFonts w:ascii="仿宋" w:hAnsi="仿宋" w:eastAsia="仿宋" w:cs="仿宋"/>
          <w:sz w:val="32"/>
          <w:szCs w:val="32"/>
        </w:rPr>
      </w:pPr>
      <w:r>
        <w:rPr>
          <w:rFonts w:hint="eastAsia" w:ascii="仿宋" w:hAnsi="仿宋" w:eastAsia="仿宋" w:cs="仿宋"/>
          <w:sz w:val="32"/>
          <w:szCs w:val="32"/>
        </w:rPr>
        <w:t>第四部分</w:t>
      </w:r>
      <w:r>
        <w:rPr>
          <w:rFonts w:hint="eastAsia" w:ascii="仿宋" w:hAnsi="仿宋" w:eastAsia="仿宋" w:cs="仿宋"/>
          <w:sz w:val="32"/>
          <w:szCs w:val="32"/>
          <w:lang w:val="en-US"/>
        </w:rPr>
        <w:t xml:space="preserve"> </w:t>
      </w:r>
      <w:r>
        <w:rPr>
          <w:rFonts w:hint="eastAsia" w:ascii="仿宋" w:hAnsi="仿宋" w:eastAsia="仿宋" w:cs="仿宋"/>
          <w:sz w:val="32"/>
          <w:szCs w:val="32"/>
        </w:rPr>
        <w:t>2019年部门预算表（附表）</w:t>
      </w:r>
    </w:p>
    <w:p>
      <w:pPr>
        <w:pStyle w:val="13"/>
        <w:numPr>
          <w:ilvl w:val="0"/>
          <w:numId w:val="2"/>
        </w:numPr>
        <w:shd w:val="clear" w:color="auto" w:fill="auto"/>
        <w:tabs>
          <w:tab w:val="left" w:pos="382"/>
        </w:tabs>
        <w:spacing w:before="0" w:after="0" w:line="538" w:lineRule="exact"/>
        <w:rPr>
          <w:rFonts w:ascii="仿宋" w:hAnsi="仿宋" w:eastAsia="仿宋" w:cs="仿宋"/>
          <w:sz w:val="32"/>
          <w:szCs w:val="32"/>
        </w:rPr>
      </w:pPr>
      <w:r>
        <w:rPr>
          <w:rFonts w:hint="eastAsia" w:ascii="仿宋" w:hAnsi="仿宋" w:eastAsia="仿宋" w:cs="仿宋"/>
          <w:sz w:val="32"/>
          <w:szCs w:val="32"/>
        </w:rPr>
        <w:t>2019年部门财政拨款收支预算总表</w:t>
      </w:r>
    </w:p>
    <w:p>
      <w:pPr>
        <w:pStyle w:val="13"/>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2019年部门一般公共预算支出预算表</w:t>
      </w:r>
    </w:p>
    <w:p>
      <w:pPr>
        <w:pStyle w:val="13"/>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2019年部门一般公共预算基本支出预算表</w:t>
      </w:r>
    </w:p>
    <w:p>
      <w:pPr>
        <w:pStyle w:val="13"/>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2019年部门政府性基金预算支出预算表</w:t>
      </w:r>
    </w:p>
    <w:p>
      <w:pPr>
        <w:pStyle w:val="13"/>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rPr>
        <w:t>2019年部门收支预算总表</w:t>
      </w:r>
    </w:p>
    <w:p>
      <w:pPr>
        <w:pStyle w:val="13"/>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rPr>
        <w:t>2019年部门收入预算总表</w:t>
      </w:r>
    </w:p>
    <w:p>
      <w:pPr>
        <w:pStyle w:val="13"/>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rPr>
        <w:t>2019年部门支出预算总表</w:t>
      </w:r>
    </w:p>
    <w:p>
      <w:pPr>
        <w:pStyle w:val="13"/>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lang w:val="en-US"/>
        </w:rPr>
        <w:t>2019年部门</w:t>
      </w:r>
      <w:r>
        <w:rPr>
          <w:rFonts w:hint="eastAsia" w:ascii="仿宋" w:hAnsi="仿宋" w:eastAsia="仿宋" w:cs="仿宋"/>
          <w:sz w:val="32"/>
          <w:szCs w:val="32"/>
        </w:rPr>
        <w:t>国有资本经营预算支出预算表</w:t>
      </w:r>
    </w:p>
    <w:p>
      <w:pPr>
        <w:pStyle w:val="13"/>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lang w:val="en-US"/>
        </w:rPr>
        <w:t>2019年部门政府采购预算表</w:t>
      </w:r>
    </w:p>
    <w:p>
      <w:pPr>
        <w:pStyle w:val="13"/>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lang w:val="en-US"/>
        </w:rPr>
        <w:t>10.2019年政府购买服务预算表</w:t>
      </w: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ind w:left="80"/>
      </w:pPr>
    </w:p>
    <w:p>
      <w:pPr>
        <w:pStyle w:val="17"/>
        <w:shd w:val="clear" w:color="auto" w:fill="auto"/>
        <w:spacing w:after="81" w:line="360" w:lineRule="auto"/>
        <w:jc w:val="both"/>
      </w:pPr>
    </w:p>
    <w:p>
      <w:pPr>
        <w:pStyle w:val="17"/>
        <w:shd w:val="clear" w:color="auto" w:fill="auto"/>
        <w:spacing w:after="81" w:line="360" w:lineRule="auto"/>
        <w:ind w:firstLine="763" w:firstLineChars="200"/>
        <w:rPr>
          <w:rFonts w:hint="eastAsia" w:ascii="仿宋" w:hAnsi="仿宋" w:eastAsia="仿宋" w:cs="仿宋"/>
          <w:b/>
          <w:bCs/>
        </w:rPr>
      </w:pPr>
    </w:p>
    <w:p>
      <w:pPr>
        <w:pStyle w:val="17"/>
        <w:shd w:val="clear" w:color="auto" w:fill="auto"/>
        <w:spacing w:after="81" w:line="360" w:lineRule="auto"/>
        <w:ind w:firstLine="763" w:firstLineChars="200"/>
        <w:rPr>
          <w:rFonts w:ascii="仿宋" w:hAnsi="仿宋" w:eastAsia="仿宋" w:cs="仿宋"/>
          <w:b/>
          <w:bCs/>
        </w:rPr>
      </w:pPr>
      <w:r>
        <w:rPr>
          <w:rFonts w:hint="eastAsia" w:ascii="仿宋" w:hAnsi="仿宋" w:eastAsia="仿宋" w:cs="仿宋"/>
          <w:b/>
          <w:bCs/>
        </w:rPr>
        <w:t>第一部分</w:t>
      </w:r>
      <w:r>
        <w:rPr>
          <w:rFonts w:hint="eastAsia" w:ascii="仿宋" w:hAnsi="仿宋" w:eastAsia="仿宋" w:cs="仿宋"/>
          <w:b/>
          <w:bCs/>
          <w:lang w:val="en-US"/>
        </w:rPr>
        <w:t xml:space="preserve"> </w:t>
      </w:r>
      <w:r>
        <w:rPr>
          <w:rFonts w:hint="eastAsia" w:ascii="仿宋" w:hAnsi="仿宋" w:eastAsia="仿宋" w:cs="仿宋"/>
          <w:b/>
          <w:bCs/>
        </w:rPr>
        <w:t>部门概况</w:t>
      </w:r>
    </w:p>
    <w:p>
      <w:pPr>
        <w:pStyle w:val="11"/>
        <w:shd w:val="clear" w:color="auto" w:fill="auto"/>
        <w:tabs>
          <w:tab w:val="left" w:pos="1301"/>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sz w:val="32"/>
          <w:szCs w:val="32"/>
        </w:rPr>
        <w:tab/>
      </w:r>
      <w:r>
        <w:rPr>
          <w:rFonts w:hint="eastAsia" w:ascii="仿宋" w:hAnsi="仿宋" w:eastAsia="仿宋" w:cs="仿宋"/>
          <w:sz w:val="32"/>
          <w:szCs w:val="32"/>
        </w:rPr>
        <w:t>主要职责</w:t>
      </w:r>
    </w:p>
    <w:p>
      <w:pPr>
        <w:spacing w:line="540" w:lineRule="exact"/>
        <w:ind w:firstLine="800" w:firstLineChars="250"/>
        <w:rPr>
          <w:rFonts w:hint="eastAsia" w:ascii="仿宋_GB2312" w:hAnsi="宋体" w:eastAsia="仿宋_GB2312"/>
          <w:sz w:val="32"/>
          <w:szCs w:val="32"/>
        </w:rPr>
      </w:pPr>
      <w:r>
        <w:rPr>
          <w:rFonts w:hint="eastAsia" w:ascii="仿宋_GB2312" w:hAnsi="宋体" w:eastAsia="仿宋_GB2312"/>
          <w:sz w:val="32"/>
          <w:szCs w:val="32"/>
        </w:rPr>
        <w:t>根据石办秘【2002】50号文件规定，县委统战部主要职责是：</w:t>
      </w:r>
    </w:p>
    <w:p>
      <w:pPr>
        <w:spacing w:line="540" w:lineRule="exact"/>
        <w:ind w:left="204" w:leftChars="85" w:firstLine="720" w:firstLineChars="225"/>
        <w:rPr>
          <w:rFonts w:hint="eastAsia" w:ascii="仿宋_GB2312" w:hAnsi="宋体" w:eastAsia="仿宋_GB2312"/>
          <w:sz w:val="32"/>
          <w:szCs w:val="32"/>
        </w:rPr>
      </w:pPr>
      <w:r>
        <w:rPr>
          <w:rFonts w:hint="eastAsia" w:ascii="仿宋_GB2312" w:hAnsi="宋体" w:eastAsia="仿宋_GB2312"/>
          <w:sz w:val="32"/>
          <w:szCs w:val="32"/>
        </w:rPr>
        <w:t>（一）统战部工作职责：1、组织贯彻执行党的统战工作方针、政策，开展统一战线理论、政策调研，监督、检查统战政策执行情况，协调统一战线各方面关系。2、负责联系各民主党派和无党派代表人士，落实县委同各民主党派进行政治协商活动的组织工作。3、督促检查党的民族、宗教政策的贯彻落实；协助有关部门打击邪教和境外宗教敌对势力的破坏活动。4、负责开展海外统战工作，指导台胞、台属联谊会。5、负责党外代表人士的政治安排，会同有关部门做好党外人士的培养、选拔、安排、使用工作等。6、贯彻党的非公有制经济方针、政策，调查研究并反映我县非公有制经济代表人士的情况，提出政策建议。7、调查研究党外知识分子情况，反映意见，协调关系，提出政策建议；联系并培养党外知识分子的代表人士；配合有关部门检查党外知识分子政策贯彻落实情况。8、负责开展统一战线理论、方针、政策和统一战线重大活动、先进人物的宣传工作。9、负责指导协调有关单位党组（党委）和有关部门的统战工作；负责统战部门干部的培训工作等等。10、组织贯彻执行党的对台工作方针、政策；开展对台工作调查研究，向县委提出对策建议；组织、指导、管理、协调全县对台工作。11、完成县委交办的其他工作。</w:t>
      </w:r>
    </w:p>
    <w:p>
      <w:pPr>
        <w:spacing w:line="540" w:lineRule="exact"/>
        <w:ind w:left="204" w:leftChars="85" w:firstLine="720" w:firstLineChars="225"/>
        <w:rPr>
          <w:rFonts w:hint="eastAsia" w:ascii="仿宋_GB2312" w:hAnsi="宋体" w:eastAsia="仿宋_GB2312"/>
          <w:sz w:val="32"/>
          <w:szCs w:val="32"/>
        </w:rPr>
      </w:pPr>
      <w:r>
        <w:rPr>
          <w:rFonts w:hint="eastAsia" w:ascii="仿宋_GB2312" w:hAnsi="宋体" w:eastAsia="仿宋_GB2312"/>
          <w:sz w:val="32"/>
          <w:szCs w:val="32"/>
        </w:rPr>
        <w:t>（二）台办工作职责：1、贯彻执行中央制定的对台工作方针、政策和工作部署，负责研究制定全县贯彻落实中央、省委和省政府、市委和市政府有关对台工作政策的实施细则。2、组织、指导、管理、协调全县对台工作，检查了解全县贯彻落实中央、省、市对台方针政策和县委、政府对台工作工作部署的落实情况。3、掌握分析我县与台湾经济合作与交流往来情况，适时提出对策建议供领导参考。4、会同有关部门统筹协调和指导全县对台经贸工作和文化、教育、卫生等各个领域的交流与合作，以及对台人员往来、考察、研讨等各项工作。5、负责对台宣传，涉台教育和有关对台工作形势报告和新闻发布。6、负责申报和管理台胞定居工作，负责台湾中上层人士的联络工作和来我县活动计划的安排、上报工作。7、负责全县台属工作及返乡台胞接待工作，协调有关部门接待旅游、考察和从事各种交流活动的台胞。负责台胞捐赠工作。8、负责来石台进行交流、访问和合作的台胞要求会见县级以上领导的联系、安排、上报等事宜。9、办理全县涉台的重大活动和重大事项。10、承办上级县委、县政府及统战部交代的其他事项。</w:t>
      </w:r>
    </w:p>
    <w:p>
      <w:pPr>
        <w:pStyle w:val="13"/>
        <w:shd w:val="clear" w:color="auto" w:fill="auto"/>
        <w:spacing w:before="0" w:after="0" w:line="360" w:lineRule="auto"/>
        <w:ind w:firstLine="760" w:firstLineChars="200"/>
        <w:jc w:val="both"/>
        <w:rPr>
          <w:rFonts w:ascii="仿宋" w:hAnsi="仿宋" w:eastAsia="仿宋" w:cs="仿宋"/>
          <w:sz w:val="32"/>
          <w:szCs w:val="32"/>
        </w:rPr>
      </w:pPr>
    </w:p>
    <w:p>
      <w:pPr>
        <w:pStyle w:val="11"/>
        <w:shd w:val="clear" w:color="auto" w:fill="auto"/>
        <w:tabs>
          <w:tab w:val="left" w:pos="1301"/>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二、</w:t>
      </w:r>
      <w:r>
        <w:rPr>
          <w:rFonts w:hint="eastAsia" w:ascii="仿宋" w:hAnsi="仿宋" w:eastAsia="仿宋" w:cs="仿宋"/>
          <w:sz w:val="32"/>
          <w:szCs w:val="32"/>
        </w:rPr>
        <w:tab/>
      </w:r>
      <w:r>
        <w:rPr>
          <w:rFonts w:hint="eastAsia" w:ascii="仿宋" w:hAnsi="仿宋" w:eastAsia="仿宋" w:cs="仿宋"/>
          <w:sz w:val="32"/>
          <w:szCs w:val="32"/>
        </w:rPr>
        <w:t>部门预算单位构成</w:t>
      </w:r>
    </w:p>
    <w:tbl>
      <w:tblPr>
        <w:tblStyle w:val="2"/>
        <w:tblW w:w="9000" w:type="dxa"/>
        <w:jc w:val="center"/>
        <w:tblLayout w:type="fixed"/>
        <w:tblCellMar>
          <w:top w:w="0" w:type="dxa"/>
          <w:left w:w="10" w:type="dxa"/>
          <w:bottom w:w="0" w:type="dxa"/>
          <w:right w:w="10" w:type="dxa"/>
        </w:tblCellMar>
      </w:tblPr>
      <w:tblGrid>
        <w:gridCol w:w="911"/>
        <w:gridCol w:w="3594"/>
        <w:gridCol w:w="4495"/>
      </w:tblGrid>
      <w:tr>
        <w:tblPrEx>
          <w:tblCellMar>
            <w:top w:w="0" w:type="dxa"/>
            <w:left w:w="10" w:type="dxa"/>
            <w:bottom w:w="0" w:type="dxa"/>
            <w:right w:w="10" w:type="dxa"/>
          </w:tblCellMar>
        </w:tblPrEx>
        <w:trPr>
          <w:trHeight w:val="299" w:hRule="exact"/>
          <w:jc w:val="center"/>
        </w:trPr>
        <w:tc>
          <w:tcPr>
            <w:tcW w:w="911" w:type="dxa"/>
            <w:tcBorders>
              <w:top w:val="single" w:color="auto" w:sz="4" w:space="0"/>
              <w:left w:val="single" w:color="auto" w:sz="4" w:space="0"/>
            </w:tcBorders>
            <w:shd w:val="clear" w:color="auto" w:fill="FFFFFF"/>
            <w:vAlign w:val="center"/>
          </w:tcPr>
          <w:p>
            <w:pPr>
              <w:pStyle w:val="13"/>
              <w:framePr w:w="9014" w:wrap="notBeside" w:vAnchor="text" w:hAnchor="page" w:x="1416" w:y="1991"/>
              <w:shd w:val="clear" w:color="auto" w:fill="auto"/>
              <w:spacing w:before="0" w:after="0" w:line="360" w:lineRule="auto"/>
              <w:ind w:firstLine="560" w:firstLineChars="200"/>
              <w:jc w:val="center"/>
              <w:rPr>
                <w:rFonts w:ascii="仿宋" w:hAnsi="仿宋" w:eastAsia="仿宋" w:cs="仿宋"/>
                <w:sz w:val="24"/>
                <w:szCs w:val="24"/>
              </w:rPr>
            </w:pPr>
            <w:r>
              <w:rPr>
                <w:rStyle w:val="45"/>
                <w:rFonts w:hint="eastAsia" w:ascii="仿宋" w:hAnsi="仿宋" w:eastAsia="仿宋" w:cs="仿宋"/>
              </w:rPr>
              <w:t>序号</w:t>
            </w:r>
          </w:p>
        </w:tc>
        <w:tc>
          <w:tcPr>
            <w:tcW w:w="3594" w:type="dxa"/>
            <w:tcBorders>
              <w:top w:val="single" w:color="auto" w:sz="4" w:space="0"/>
              <w:left w:val="single" w:color="auto" w:sz="4" w:space="0"/>
            </w:tcBorders>
            <w:shd w:val="clear" w:color="auto" w:fill="FFFFFF"/>
            <w:vAlign w:val="center"/>
          </w:tcPr>
          <w:p>
            <w:pPr>
              <w:pStyle w:val="13"/>
              <w:framePr w:w="9014" w:wrap="notBeside" w:vAnchor="text" w:hAnchor="page" w:x="1416" w:y="1991"/>
              <w:shd w:val="clear" w:color="auto" w:fill="auto"/>
              <w:spacing w:before="0" w:after="0" w:line="360" w:lineRule="auto"/>
              <w:ind w:firstLine="560" w:firstLineChars="200"/>
              <w:jc w:val="center"/>
              <w:rPr>
                <w:rFonts w:ascii="仿宋" w:hAnsi="仿宋" w:eastAsia="仿宋" w:cs="仿宋"/>
                <w:sz w:val="24"/>
                <w:szCs w:val="24"/>
              </w:rPr>
            </w:pPr>
            <w:r>
              <w:rPr>
                <w:rStyle w:val="45"/>
                <w:rFonts w:hint="eastAsia" w:ascii="仿宋" w:hAnsi="仿宋" w:eastAsia="仿宋" w:cs="仿宋"/>
              </w:rPr>
              <w:t>单位名称</w:t>
            </w:r>
          </w:p>
        </w:tc>
        <w:tc>
          <w:tcPr>
            <w:tcW w:w="4495" w:type="dxa"/>
            <w:tcBorders>
              <w:top w:val="single" w:color="auto" w:sz="4" w:space="0"/>
              <w:left w:val="single" w:color="auto" w:sz="4" w:space="0"/>
              <w:right w:val="single" w:color="auto" w:sz="4" w:space="0"/>
            </w:tcBorders>
            <w:shd w:val="clear" w:color="auto" w:fill="FFFFFF"/>
            <w:vAlign w:val="center"/>
          </w:tcPr>
          <w:p>
            <w:pPr>
              <w:pStyle w:val="13"/>
              <w:framePr w:w="9014" w:wrap="notBeside" w:vAnchor="text" w:hAnchor="page" w:x="1416" w:y="1991"/>
              <w:shd w:val="clear" w:color="auto" w:fill="auto"/>
              <w:spacing w:before="0" w:after="0" w:line="360" w:lineRule="auto"/>
              <w:ind w:firstLine="560" w:firstLineChars="200"/>
              <w:jc w:val="center"/>
              <w:rPr>
                <w:rFonts w:ascii="仿宋" w:hAnsi="仿宋" w:eastAsia="仿宋" w:cs="仿宋"/>
                <w:sz w:val="24"/>
                <w:szCs w:val="24"/>
              </w:rPr>
            </w:pPr>
            <w:r>
              <w:rPr>
                <w:rStyle w:val="45"/>
                <w:rFonts w:hint="eastAsia" w:ascii="仿宋" w:hAnsi="仿宋" w:eastAsia="仿宋" w:cs="仿宋"/>
              </w:rPr>
              <w:t>单位性质</w:t>
            </w:r>
          </w:p>
        </w:tc>
      </w:tr>
      <w:tr>
        <w:tblPrEx>
          <w:tblCellMar>
            <w:top w:w="0" w:type="dxa"/>
            <w:left w:w="10" w:type="dxa"/>
            <w:bottom w:w="0" w:type="dxa"/>
            <w:right w:w="10" w:type="dxa"/>
          </w:tblCellMar>
        </w:tblPrEx>
        <w:trPr>
          <w:trHeight w:val="303" w:hRule="exact"/>
          <w:jc w:val="center"/>
        </w:trPr>
        <w:tc>
          <w:tcPr>
            <w:tcW w:w="911" w:type="dxa"/>
            <w:tcBorders>
              <w:top w:val="single" w:color="auto" w:sz="4" w:space="0"/>
              <w:left w:val="single" w:color="auto" w:sz="4" w:space="0"/>
              <w:bottom w:val="single" w:color="auto" w:sz="4" w:space="0"/>
            </w:tcBorders>
            <w:shd w:val="clear" w:color="auto" w:fill="FFFFFF"/>
            <w:vAlign w:val="center"/>
          </w:tcPr>
          <w:p>
            <w:pPr>
              <w:pStyle w:val="13"/>
              <w:framePr w:w="9014" w:wrap="notBeside" w:vAnchor="text" w:hAnchor="page" w:x="1416" w:y="1991"/>
              <w:shd w:val="clear" w:color="auto" w:fill="auto"/>
              <w:spacing w:before="0" w:after="0" w:line="360" w:lineRule="auto"/>
              <w:ind w:firstLine="560" w:firstLineChars="200"/>
              <w:jc w:val="center"/>
              <w:rPr>
                <w:rFonts w:ascii="仿宋" w:hAnsi="仿宋" w:eastAsia="仿宋" w:cs="仿宋"/>
                <w:sz w:val="24"/>
                <w:szCs w:val="24"/>
              </w:rPr>
            </w:pPr>
            <w:r>
              <w:rPr>
                <w:rStyle w:val="45"/>
                <w:rFonts w:hint="eastAsia" w:ascii="仿宋" w:hAnsi="仿宋" w:eastAsia="仿宋" w:cs="仿宋"/>
              </w:rPr>
              <w:t>1</w:t>
            </w:r>
          </w:p>
        </w:tc>
        <w:tc>
          <w:tcPr>
            <w:tcW w:w="3594" w:type="dxa"/>
            <w:tcBorders>
              <w:top w:val="single" w:color="auto" w:sz="4" w:space="0"/>
              <w:left w:val="single" w:color="auto" w:sz="4" w:space="0"/>
              <w:bottom w:val="single" w:color="auto" w:sz="4" w:space="0"/>
            </w:tcBorders>
            <w:shd w:val="clear" w:color="auto" w:fill="FFFFFF"/>
            <w:vAlign w:val="center"/>
          </w:tcPr>
          <w:p>
            <w:pPr>
              <w:pStyle w:val="13"/>
              <w:framePr w:w="9014" w:wrap="notBeside" w:vAnchor="text" w:hAnchor="page" w:x="1416" w:y="1991"/>
              <w:shd w:val="clear" w:color="auto" w:fill="auto"/>
              <w:spacing w:before="0" w:after="0" w:line="360" w:lineRule="auto"/>
              <w:ind w:firstLine="560" w:firstLineChars="200"/>
              <w:jc w:val="center"/>
              <w:rPr>
                <w:rFonts w:ascii="仿宋" w:hAnsi="仿宋" w:eastAsia="仿宋" w:cs="仿宋"/>
                <w:sz w:val="24"/>
                <w:szCs w:val="24"/>
              </w:rPr>
            </w:pPr>
            <w:r>
              <w:rPr>
                <w:rStyle w:val="45"/>
                <w:rFonts w:hint="eastAsia" w:ascii="仿宋" w:hAnsi="仿宋" w:eastAsia="仿宋" w:cs="仿宋"/>
              </w:rPr>
              <w:t>统战部本级</w:t>
            </w:r>
          </w:p>
        </w:tc>
        <w:tc>
          <w:tcPr>
            <w:tcW w:w="4495"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3"/>
              <w:framePr w:w="9014" w:wrap="notBeside" w:vAnchor="text" w:hAnchor="page" w:x="1416" w:y="1991"/>
              <w:shd w:val="clear" w:color="auto" w:fill="auto"/>
              <w:spacing w:before="0" w:after="0" w:line="360" w:lineRule="auto"/>
              <w:ind w:firstLine="560" w:firstLineChars="200"/>
              <w:jc w:val="center"/>
              <w:rPr>
                <w:rFonts w:ascii="仿宋" w:hAnsi="仿宋" w:eastAsia="仿宋" w:cs="仿宋"/>
                <w:sz w:val="24"/>
                <w:szCs w:val="24"/>
              </w:rPr>
            </w:pPr>
            <w:r>
              <w:rPr>
                <w:rStyle w:val="45"/>
                <w:rFonts w:hint="eastAsia" w:ascii="仿宋" w:hAnsi="仿宋" w:eastAsia="仿宋" w:cs="仿宋"/>
                <w:lang w:val="en-US"/>
              </w:rPr>
              <w:t>行政</w:t>
            </w:r>
            <w:r>
              <w:rPr>
                <w:rStyle w:val="45"/>
                <w:rFonts w:hint="eastAsia" w:ascii="仿宋" w:hAnsi="仿宋" w:eastAsia="仿宋" w:cs="仿宋"/>
              </w:rPr>
              <w:t>单位</w:t>
            </w:r>
          </w:p>
        </w:tc>
      </w:tr>
      <w:tr>
        <w:tblPrEx>
          <w:tblCellMar>
            <w:top w:w="0" w:type="dxa"/>
            <w:left w:w="10" w:type="dxa"/>
            <w:bottom w:w="0" w:type="dxa"/>
            <w:right w:w="10" w:type="dxa"/>
          </w:tblCellMar>
        </w:tblPrEx>
        <w:trPr>
          <w:trHeight w:val="303" w:hRule="exact"/>
          <w:jc w:val="center"/>
        </w:trPr>
        <w:tc>
          <w:tcPr>
            <w:tcW w:w="911" w:type="dxa"/>
            <w:tcBorders>
              <w:top w:val="single" w:color="auto" w:sz="4" w:space="0"/>
              <w:left w:val="single" w:color="auto" w:sz="4" w:space="0"/>
              <w:bottom w:val="single" w:color="auto" w:sz="4" w:space="0"/>
            </w:tcBorders>
            <w:shd w:val="clear" w:color="auto" w:fill="FFFFFF"/>
            <w:vAlign w:val="center"/>
          </w:tcPr>
          <w:p>
            <w:pPr>
              <w:pStyle w:val="13"/>
              <w:framePr w:w="9014" w:wrap="notBeside" w:vAnchor="text" w:hAnchor="page" w:x="1416" w:y="1991"/>
              <w:shd w:val="clear" w:color="auto" w:fill="auto"/>
              <w:spacing w:before="0" w:after="0" w:line="360" w:lineRule="auto"/>
              <w:ind w:firstLine="560" w:firstLineChars="200"/>
              <w:jc w:val="center"/>
              <w:rPr>
                <w:rStyle w:val="45"/>
                <w:rFonts w:ascii="仿宋" w:hAnsi="仿宋" w:eastAsia="仿宋" w:cs="仿宋"/>
                <w:lang w:val="en-US"/>
              </w:rPr>
            </w:pPr>
            <w:r>
              <w:rPr>
                <w:rStyle w:val="45"/>
                <w:rFonts w:hint="eastAsia" w:ascii="仿宋" w:hAnsi="仿宋" w:eastAsia="仿宋" w:cs="仿宋"/>
                <w:lang w:val="en-US"/>
              </w:rPr>
              <w:t>2</w:t>
            </w:r>
          </w:p>
        </w:tc>
        <w:tc>
          <w:tcPr>
            <w:tcW w:w="3594" w:type="dxa"/>
            <w:tcBorders>
              <w:top w:val="single" w:color="auto" w:sz="4" w:space="0"/>
              <w:left w:val="single" w:color="auto" w:sz="4" w:space="0"/>
              <w:bottom w:val="single" w:color="auto" w:sz="4" w:space="0"/>
            </w:tcBorders>
            <w:shd w:val="clear" w:color="auto" w:fill="FFFFFF"/>
            <w:vAlign w:val="center"/>
          </w:tcPr>
          <w:p>
            <w:pPr>
              <w:pStyle w:val="13"/>
              <w:framePr w:w="9014" w:wrap="notBeside" w:vAnchor="text" w:hAnchor="page" w:x="1416" w:y="1991"/>
              <w:shd w:val="clear" w:color="auto" w:fill="auto"/>
              <w:spacing w:before="0" w:after="0" w:line="360" w:lineRule="auto"/>
              <w:ind w:firstLine="560" w:firstLineChars="200"/>
              <w:jc w:val="center"/>
              <w:rPr>
                <w:rStyle w:val="45"/>
                <w:rFonts w:ascii="仿宋" w:hAnsi="仿宋" w:eastAsia="仿宋" w:cs="仿宋"/>
                <w:lang w:val="en-US"/>
              </w:rPr>
            </w:pPr>
          </w:p>
        </w:tc>
        <w:tc>
          <w:tcPr>
            <w:tcW w:w="4495"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3"/>
              <w:framePr w:w="9014" w:wrap="notBeside" w:vAnchor="text" w:hAnchor="page" w:x="1416" w:y="1991"/>
              <w:shd w:val="clear" w:color="auto" w:fill="auto"/>
              <w:spacing w:before="0" w:after="0" w:line="360" w:lineRule="auto"/>
              <w:ind w:firstLine="560" w:firstLineChars="200"/>
              <w:jc w:val="center"/>
              <w:rPr>
                <w:rStyle w:val="45"/>
                <w:rFonts w:ascii="仿宋" w:hAnsi="仿宋" w:eastAsia="仿宋" w:cs="仿宋"/>
              </w:rPr>
            </w:pPr>
          </w:p>
        </w:tc>
      </w:tr>
    </w:tbl>
    <w:p>
      <w:pPr>
        <w:framePr w:w="9014" w:wrap="notBeside" w:vAnchor="text" w:hAnchor="page" w:x="1416" w:y="1991"/>
        <w:spacing w:line="360" w:lineRule="auto"/>
        <w:ind w:firstLine="640" w:firstLineChars="200"/>
        <w:rPr>
          <w:rFonts w:ascii="仿宋" w:hAnsi="仿宋" w:eastAsia="仿宋" w:cs="仿宋"/>
          <w:sz w:val="32"/>
          <w:szCs w:val="32"/>
        </w:rPr>
      </w:pPr>
    </w:p>
    <w:p>
      <w:pPr>
        <w:pStyle w:val="13"/>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lang w:eastAsia="zh-CN"/>
        </w:rPr>
        <w:t>石台县委统战部与</w:t>
      </w:r>
      <w:r>
        <w:rPr>
          <w:rFonts w:hint="eastAsia" w:ascii="仿宋" w:hAnsi="仿宋" w:eastAsia="仿宋" w:cs="仿宋"/>
          <w:spacing w:val="30"/>
          <w:kern w:val="2"/>
          <w:sz w:val="32"/>
          <w:szCs w:val="32"/>
          <w:lang w:val="en-US" w:eastAsia="zh-CN" w:bidi="ar-SA"/>
        </w:rPr>
        <w:t>对台办组成合署办公单位,</w:t>
      </w:r>
      <w:r>
        <w:rPr>
          <w:rFonts w:hint="eastAsia" w:ascii="仿宋" w:hAnsi="仿宋" w:eastAsia="仿宋" w:cs="仿宋"/>
          <w:sz w:val="32"/>
          <w:szCs w:val="32"/>
          <w:lang w:val="en-US"/>
        </w:rPr>
        <w:t>无下属预算单位</w:t>
      </w:r>
      <w:r>
        <w:rPr>
          <w:rFonts w:hint="eastAsia" w:ascii="仿宋" w:hAnsi="仿宋" w:eastAsia="仿宋" w:cs="仿宋"/>
          <w:sz w:val="32"/>
          <w:szCs w:val="32"/>
        </w:rPr>
        <w:t>，2019年度部门预算由</w:t>
      </w:r>
      <w:r>
        <w:rPr>
          <w:rFonts w:hint="eastAsia" w:ascii="仿宋" w:hAnsi="仿宋" w:eastAsia="仿宋" w:cs="仿宋"/>
          <w:sz w:val="32"/>
          <w:szCs w:val="32"/>
          <w:lang w:eastAsia="zh-CN"/>
        </w:rPr>
        <w:t>部</w:t>
      </w:r>
      <w:r>
        <w:rPr>
          <w:rFonts w:hint="eastAsia" w:ascii="仿宋" w:hAnsi="仿宋" w:eastAsia="仿宋" w:cs="仿宋"/>
          <w:sz w:val="32"/>
          <w:szCs w:val="32"/>
        </w:rPr>
        <w:t>本级</w:t>
      </w:r>
      <w:r>
        <w:rPr>
          <w:rFonts w:hint="eastAsia" w:ascii="仿宋" w:hAnsi="仿宋" w:eastAsia="仿宋" w:cs="仿宋"/>
          <w:sz w:val="32"/>
          <w:szCs w:val="32"/>
          <w:lang w:val="en-US" w:eastAsia="zh-CN"/>
        </w:rPr>
        <w:t>1个</w:t>
      </w:r>
      <w:r>
        <w:rPr>
          <w:rFonts w:hint="eastAsia" w:ascii="仿宋" w:hAnsi="仿宋" w:eastAsia="仿宋" w:cs="仿宋"/>
          <w:sz w:val="32"/>
          <w:szCs w:val="32"/>
        </w:rPr>
        <w:t>预算</w:t>
      </w:r>
      <w:r>
        <w:rPr>
          <w:rFonts w:hint="eastAsia" w:ascii="仿宋" w:hAnsi="仿宋" w:eastAsia="仿宋" w:cs="仿宋"/>
          <w:sz w:val="32"/>
          <w:szCs w:val="32"/>
          <w:lang w:eastAsia="zh-CN"/>
        </w:rPr>
        <w:t>单位</w:t>
      </w:r>
      <w:r>
        <w:rPr>
          <w:rFonts w:hint="eastAsia" w:ascii="仿宋" w:hAnsi="仿宋" w:eastAsia="仿宋" w:cs="仿宋"/>
          <w:sz w:val="32"/>
          <w:szCs w:val="32"/>
        </w:rPr>
        <w:t>组成，纳入部门预算编制范围的单位共</w:t>
      </w:r>
      <w:r>
        <w:rPr>
          <w:rFonts w:hint="eastAsia" w:ascii="仿宋" w:hAnsi="仿宋" w:eastAsia="仿宋" w:cs="仿宋"/>
          <w:sz w:val="32"/>
          <w:szCs w:val="32"/>
          <w:lang w:val="en-US" w:eastAsia="zh-CN"/>
        </w:rPr>
        <w:t>1</w:t>
      </w:r>
      <w:r>
        <w:rPr>
          <w:rFonts w:hint="eastAsia" w:ascii="仿宋" w:hAnsi="仿宋" w:eastAsia="仿宋" w:cs="仿宋"/>
          <w:sz w:val="32"/>
          <w:szCs w:val="32"/>
        </w:rPr>
        <w:t>个，具体情况见下表。</w:t>
      </w:r>
    </w:p>
    <w:p>
      <w:pPr>
        <w:pStyle w:val="11"/>
        <w:shd w:val="clear" w:color="auto" w:fill="auto"/>
        <w:spacing w:before="694" w:after="65"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三、2019年度主要工作任务</w:t>
      </w:r>
    </w:p>
    <w:p>
      <w:pPr>
        <w:spacing w:line="560" w:lineRule="exact"/>
        <w:ind w:firstLine="640" w:firstLineChars="200"/>
        <w:outlineLvl w:val="0"/>
        <w:rPr>
          <w:rFonts w:hint="eastAsia" w:ascii="仿宋_GB2312" w:hAnsi="宋体" w:eastAsia="仿宋_GB2312"/>
          <w:sz w:val="32"/>
          <w:szCs w:val="32"/>
        </w:rPr>
      </w:pPr>
      <w:r>
        <w:rPr>
          <w:rFonts w:hint="eastAsia" w:ascii="仿宋_GB2312" w:hAnsi="宋体" w:eastAsia="仿宋_GB2312"/>
          <w:sz w:val="32"/>
          <w:szCs w:val="32"/>
        </w:rPr>
        <w:t>（一）</w:t>
      </w:r>
      <w:r>
        <w:rPr>
          <w:rFonts w:hint="eastAsia" w:ascii="仿宋_GB2312" w:hAnsi="华文仿宋" w:eastAsia="仿宋_GB2312"/>
          <w:sz w:val="32"/>
          <w:szCs w:val="32"/>
        </w:rPr>
        <w:t>扎实推进统一战线各领域“大学习、大宣讲、大培训、大调研、大落实”活动，深入学习贯彻习近平新时代中国特色社会主义思想</w:t>
      </w:r>
      <w:r>
        <w:rPr>
          <w:rFonts w:ascii="仿宋_GB2312" w:hAnsi="华文仿宋" w:eastAsia="仿宋_GB2312"/>
          <w:sz w:val="32"/>
          <w:szCs w:val="32"/>
        </w:rPr>
        <w:t>和党的十九大精神</w:t>
      </w:r>
      <w:r>
        <w:rPr>
          <w:rFonts w:hint="eastAsia" w:ascii="仿宋_GB2312" w:hAnsi="华文仿宋" w:eastAsia="仿宋_GB2312"/>
          <w:sz w:val="32"/>
          <w:szCs w:val="32"/>
        </w:rPr>
        <w:t>。</w:t>
      </w:r>
    </w:p>
    <w:p>
      <w:pPr>
        <w:spacing w:line="56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（二）</w:t>
      </w:r>
      <w:r>
        <w:rPr>
          <w:rFonts w:hint="eastAsia" w:ascii="仿宋_GB2312" w:hAnsi="华文仿宋" w:eastAsia="仿宋_GB2312"/>
          <w:sz w:val="32"/>
          <w:szCs w:val="32"/>
        </w:rPr>
        <w:t>落实《</w:t>
      </w:r>
      <w:r>
        <w:rPr>
          <w:rFonts w:hint="eastAsia" w:ascii="仿宋_GB2312" w:hAnsi="仿宋_GB2312" w:eastAsia="仿宋_GB2312" w:cs="仿宋_GB2312"/>
          <w:sz w:val="32"/>
          <w:szCs w:val="32"/>
          <w:lang w:val="zh-CN" w:bidi="he-IL"/>
        </w:rPr>
        <w:t>石台县统一战线“聚力工程”实施方案</w:t>
      </w:r>
      <w:r>
        <w:rPr>
          <w:rFonts w:hint="eastAsia" w:ascii="仿宋_GB2312" w:hAnsi="华文仿宋" w:eastAsia="仿宋_GB2312"/>
          <w:sz w:val="32"/>
          <w:szCs w:val="32"/>
        </w:rPr>
        <w:t>》，</w:t>
      </w:r>
      <w:r>
        <w:rPr>
          <w:rFonts w:hint="eastAsia" w:ascii="仿宋_GB2312" w:hAnsi="仿宋_GB2312" w:eastAsia="仿宋_GB2312" w:cs="仿宋_GB2312"/>
          <w:sz w:val="32"/>
          <w:szCs w:val="32"/>
          <w:lang w:val="zh-CN" w:bidi="he-IL"/>
        </w:rPr>
        <w:t>服务和贯彻县委、县政府“五大发展行动计划”。</w:t>
      </w:r>
    </w:p>
    <w:p>
      <w:pPr>
        <w:spacing w:line="56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（三）开展党外人士基础信息数据库建设，</w:t>
      </w:r>
      <w:r>
        <w:rPr>
          <w:rFonts w:hint="eastAsia" w:ascii="仿宋_GB2312" w:hAnsi="华文仿宋" w:eastAsia="仿宋_GB2312"/>
          <w:sz w:val="32"/>
          <w:szCs w:val="32"/>
        </w:rPr>
        <w:t>统筹抓好党政领导干部队伍、党外代表人士队伍、统战干部队伍三支队伍学习培训和建设工作。</w:t>
      </w:r>
    </w:p>
    <w:p>
      <w:pPr>
        <w:spacing w:line="56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（四）加强县工商联和商会组织建设，积极为非公经济发展做好服务。</w:t>
      </w:r>
    </w:p>
    <w:p>
      <w:pPr>
        <w:spacing w:line="56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（五）</w:t>
      </w:r>
      <w:r>
        <w:rPr>
          <w:rFonts w:hint="eastAsia" w:ascii="仿宋_GB2312" w:hAnsi="华文仿宋" w:eastAsia="仿宋_GB2312"/>
          <w:sz w:val="32"/>
          <w:szCs w:val="32"/>
        </w:rPr>
        <w:t>深化民族团结进步教育，继续实施“共同发展”提升行动，助力少数民族贫困群众脱贫致富等；巩固全县佛教道教商业化治理工作成果。继续开展以“规范”为主题的和谐寺观教堂创建活动，</w:t>
      </w:r>
      <w:r>
        <w:rPr>
          <w:rFonts w:ascii="仿宋_GB2312" w:hAnsi="华文仿宋" w:eastAsia="仿宋_GB2312"/>
          <w:sz w:val="32"/>
          <w:szCs w:val="32"/>
        </w:rPr>
        <w:t>提高宗教工作法治化水平</w:t>
      </w:r>
      <w:r>
        <w:rPr>
          <w:rFonts w:hint="eastAsia" w:ascii="仿宋_GB2312" w:hAnsi="华文仿宋" w:eastAsia="仿宋_GB2312"/>
          <w:sz w:val="32"/>
          <w:szCs w:val="32"/>
        </w:rPr>
        <w:t>。</w:t>
      </w:r>
    </w:p>
    <w:p>
      <w:pPr>
        <w:spacing w:line="56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（六）</w:t>
      </w:r>
      <w:r>
        <w:rPr>
          <w:rFonts w:hint="eastAsia" w:ascii="仿宋_GB2312" w:hAnsi="华文仿宋" w:eastAsia="仿宋_GB2312"/>
          <w:sz w:val="32"/>
          <w:szCs w:val="32"/>
        </w:rPr>
        <w:t>深化对台文化交流和对台宣传工作，促进人员往来和经贸合作。协同做好港澳台属、侨属中的贫困户扶助帮困工作。</w:t>
      </w:r>
    </w:p>
    <w:p>
      <w:pPr>
        <w:spacing w:line="56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（七）</w:t>
      </w:r>
      <w:r>
        <w:rPr>
          <w:rFonts w:hint="eastAsia" w:ascii="仿宋_GB2312" w:hAnsi="华文仿宋" w:eastAsia="仿宋_GB2312"/>
          <w:sz w:val="32"/>
          <w:szCs w:val="32"/>
        </w:rPr>
        <w:t>完善县委统一战线领导小组牵头抓总，统战部与相关部门和党外人士所在单位党委（党组）各负其责、各有侧重、相互配合的工作机制。</w:t>
      </w:r>
    </w:p>
    <w:p>
      <w:pPr>
        <w:spacing w:line="560" w:lineRule="exact"/>
        <w:ind w:firstLine="660"/>
        <w:rPr>
          <w:rFonts w:hint="eastAsia" w:ascii="仿宋_GB2312" w:hAnsi="华文仿宋" w:eastAsia="仿宋_GB2312"/>
          <w:sz w:val="32"/>
          <w:szCs w:val="32"/>
        </w:rPr>
      </w:pPr>
      <w:r>
        <w:rPr>
          <w:rFonts w:hint="eastAsia" w:ascii="仿宋_GB2312" w:hAnsi="宋体" w:eastAsia="仿宋_GB2312"/>
          <w:sz w:val="32"/>
          <w:szCs w:val="32"/>
        </w:rPr>
        <w:t>（八）</w:t>
      </w:r>
      <w:r>
        <w:rPr>
          <w:rFonts w:hint="eastAsia" w:ascii="仿宋_GB2312" w:hAnsi="华文仿宋" w:eastAsia="仿宋_GB2312"/>
          <w:sz w:val="32"/>
          <w:szCs w:val="32"/>
        </w:rPr>
        <w:t>加强统战部机关内部管理和干部队伍建设，统筹做好精神文明创建和综治、双拥、计生、联系村等工作，完成市委统战部、县委交办的工作任务。</w:t>
      </w:r>
    </w:p>
    <w:p>
      <w:pPr>
        <w:pStyle w:val="17"/>
        <w:shd w:val="clear" w:color="auto" w:fill="auto"/>
        <w:spacing w:after="0" w:line="360" w:lineRule="auto"/>
        <w:ind w:firstLine="763" w:firstLineChars="200"/>
        <w:rPr>
          <w:rFonts w:ascii="仿宋" w:hAnsi="仿宋" w:eastAsia="仿宋" w:cs="仿宋"/>
          <w:b/>
          <w:bCs/>
        </w:rPr>
      </w:pPr>
      <w:r>
        <w:rPr>
          <w:rFonts w:hint="eastAsia" w:ascii="仿宋" w:hAnsi="仿宋" w:eastAsia="仿宋" w:cs="仿宋"/>
          <w:b/>
          <w:bCs/>
        </w:rPr>
        <w:t>第二部分</w:t>
      </w:r>
      <w:r>
        <w:rPr>
          <w:rFonts w:hint="eastAsia" w:ascii="仿宋" w:hAnsi="仿宋" w:eastAsia="仿宋" w:cs="仿宋"/>
          <w:b/>
          <w:bCs/>
          <w:lang w:val="en-US"/>
        </w:rPr>
        <w:t xml:space="preserve"> </w:t>
      </w:r>
      <w:r>
        <w:rPr>
          <w:rStyle w:val="19"/>
          <w:rFonts w:hint="eastAsia" w:ascii="仿宋" w:hAnsi="仿宋" w:eastAsia="仿宋" w:cs="仿宋"/>
          <w:b/>
          <w:bCs/>
          <w:sz w:val="32"/>
          <w:szCs w:val="32"/>
        </w:rPr>
        <w:t>2019年</w:t>
      </w:r>
      <w:r>
        <w:rPr>
          <w:rFonts w:hint="eastAsia" w:ascii="仿宋" w:hAnsi="仿宋" w:eastAsia="仿宋" w:cs="仿宋"/>
          <w:b/>
          <w:bCs/>
        </w:rPr>
        <w:t>部门预算情况说明</w:t>
      </w:r>
    </w:p>
    <w:p>
      <w:pPr>
        <w:pStyle w:val="11"/>
        <w:shd w:val="clear" w:color="auto" w:fill="auto"/>
        <w:tabs>
          <w:tab w:val="left" w:pos="1473"/>
        </w:tabs>
        <w:spacing w:after="0" w:line="360" w:lineRule="auto"/>
        <w:ind w:firstLine="760" w:firstLineChars="200"/>
        <w:jc w:val="both"/>
        <w:rPr>
          <w:rFonts w:ascii="仿宋" w:hAnsi="仿宋" w:eastAsia="仿宋" w:cs="仿宋"/>
          <w:sz w:val="32"/>
          <w:szCs w:val="32"/>
        </w:rPr>
      </w:pPr>
      <w:r>
        <w:rPr>
          <w:rStyle w:val="41"/>
          <w:rFonts w:hint="eastAsia" w:ascii="仿宋" w:hAnsi="仿宋" w:eastAsia="仿宋" w:cs="仿宋"/>
          <w:b w:val="0"/>
          <w:bCs w:val="0"/>
          <w:sz w:val="32"/>
          <w:szCs w:val="32"/>
        </w:rPr>
        <w:t>一、</w:t>
      </w:r>
      <w:r>
        <w:rPr>
          <w:rStyle w:val="41"/>
          <w:rFonts w:hint="eastAsia" w:ascii="仿宋" w:hAnsi="仿宋" w:eastAsia="仿宋" w:cs="仿宋"/>
          <w:b w:val="0"/>
          <w:bCs w:val="0"/>
          <w:sz w:val="32"/>
          <w:szCs w:val="32"/>
        </w:rPr>
        <w:tab/>
      </w:r>
      <w:r>
        <w:rPr>
          <w:rFonts w:hint="eastAsia" w:ascii="仿宋" w:hAnsi="仿宋" w:eastAsia="仿宋" w:cs="仿宋"/>
          <w:sz w:val="32"/>
          <w:szCs w:val="32"/>
        </w:rPr>
        <w:t>关于2019年财政拨款收支预算总体情况说明</w:t>
      </w:r>
    </w:p>
    <w:p>
      <w:pPr>
        <w:pStyle w:val="13"/>
        <w:shd w:val="clear" w:color="auto" w:fill="auto"/>
        <w:spacing w:before="0" w:after="0" w:line="360" w:lineRule="auto"/>
        <w:ind w:firstLine="760" w:firstLineChars="200"/>
        <w:jc w:val="both"/>
        <w:rPr>
          <w:rFonts w:ascii="仿宋" w:hAnsi="仿宋" w:eastAsia="仿宋" w:cs="仿宋"/>
          <w:sz w:val="32"/>
          <w:szCs w:val="32"/>
          <w:lang w:val="en-US"/>
        </w:rPr>
      </w:pP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2019年财政拨款收支预算</w:t>
      </w:r>
      <w:r>
        <w:rPr>
          <w:rFonts w:hint="eastAsia" w:ascii="仿宋" w:hAnsi="仿宋" w:eastAsia="仿宋" w:cs="仿宋"/>
          <w:sz w:val="32"/>
          <w:szCs w:val="32"/>
          <w:lang w:val="en-US" w:eastAsia="zh-CN" w:bidi="en-US"/>
        </w:rPr>
        <w:t>114.11</w:t>
      </w:r>
      <w:r>
        <w:rPr>
          <w:rFonts w:hint="eastAsia" w:ascii="仿宋" w:hAnsi="仿宋" w:eastAsia="仿宋" w:cs="仿宋"/>
          <w:sz w:val="32"/>
          <w:szCs w:val="32"/>
        </w:rPr>
        <w:t>万元。收入按资金来源分为：一般公共预算拨款</w:t>
      </w:r>
      <w:r>
        <w:rPr>
          <w:rFonts w:hint="eastAsia" w:ascii="仿宋" w:hAnsi="仿宋" w:eastAsia="仿宋" w:cs="仿宋"/>
          <w:sz w:val="32"/>
          <w:szCs w:val="32"/>
          <w:lang w:val="en-US" w:eastAsia="zh-CN" w:bidi="en-US"/>
        </w:rPr>
        <w:t>114.11</w:t>
      </w:r>
      <w:r>
        <w:rPr>
          <w:rFonts w:hint="eastAsia" w:ascii="仿宋" w:hAnsi="仿宋" w:eastAsia="仿宋" w:cs="仿宋"/>
          <w:sz w:val="32"/>
          <w:szCs w:val="32"/>
        </w:rPr>
        <w:t>万元；按资金年度分为：当年财政拨款收入</w:t>
      </w:r>
      <w:r>
        <w:rPr>
          <w:rFonts w:hint="eastAsia" w:ascii="仿宋" w:hAnsi="仿宋" w:eastAsia="仿宋" w:cs="仿宋"/>
          <w:sz w:val="32"/>
          <w:szCs w:val="32"/>
          <w:lang w:val="en-US" w:eastAsia="zh-CN" w:bidi="en-US"/>
        </w:rPr>
        <w:t>114.11</w:t>
      </w:r>
      <w:r>
        <w:rPr>
          <w:rFonts w:hint="eastAsia" w:ascii="仿宋" w:hAnsi="仿宋" w:eastAsia="仿宋" w:cs="仿宋"/>
          <w:sz w:val="32"/>
          <w:szCs w:val="32"/>
        </w:rPr>
        <w:t>万元。支出按功能分类分为：一般公</w:t>
      </w:r>
      <w:r>
        <w:rPr>
          <w:rFonts w:hint="eastAsia" w:ascii="仿宋" w:hAnsi="仿宋" w:eastAsia="仿宋" w:cs="仿宋"/>
          <w:sz w:val="32"/>
          <w:szCs w:val="32"/>
          <w:lang w:eastAsia="zh-CN"/>
        </w:rPr>
        <w:t>共服务支出</w:t>
      </w:r>
      <w:r>
        <w:rPr>
          <w:rFonts w:hint="eastAsia" w:ascii="仿宋" w:hAnsi="仿宋" w:eastAsia="仿宋" w:cs="仿宋"/>
          <w:sz w:val="32"/>
          <w:szCs w:val="32"/>
          <w:lang w:val="en-US" w:eastAsia="zh-CN"/>
        </w:rPr>
        <w:t>91.29</w:t>
      </w:r>
      <w:r>
        <w:rPr>
          <w:rFonts w:hint="eastAsia" w:ascii="仿宋" w:hAnsi="仿宋" w:eastAsia="仿宋" w:cs="仿宋"/>
          <w:sz w:val="32"/>
          <w:szCs w:val="32"/>
        </w:rPr>
        <w:t>万元</w:t>
      </w:r>
      <w:r>
        <w:rPr>
          <w:rFonts w:hint="eastAsia" w:ascii="仿宋" w:hAnsi="仿宋" w:eastAsia="仿宋" w:cs="仿宋"/>
          <w:sz w:val="32"/>
          <w:szCs w:val="32"/>
          <w:lang w:eastAsia="zh-CN"/>
        </w:rPr>
        <w:t>，</w:t>
      </w:r>
      <w:r>
        <w:rPr>
          <w:rFonts w:hint="eastAsia" w:ascii="仿宋" w:hAnsi="仿宋" w:eastAsia="仿宋" w:cs="仿宋"/>
          <w:sz w:val="32"/>
          <w:szCs w:val="32"/>
        </w:rPr>
        <w:t>占</w:t>
      </w:r>
      <w:r>
        <w:rPr>
          <w:rFonts w:hint="eastAsia" w:ascii="仿宋" w:hAnsi="仿宋" w:eastAsia="仿宋" w:cs="仿宋"/>
          <w:sz w:val="32"/>
          <w:szCs w:val="32"/>
          <w:lang w:val="en-US" w:eastAsia="zh-CN"/>
        </w:rPr>
        <w:t>80.00</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rPr>
        <w:t>社会保障和就业支出</w:t>
      </w:r>
      <w:r>
        <w:rPr>
          <w:rFonts w:hint="eastAsia" w:ascii="仿宋" w:hAnsi="仿宋" w:eastAsia="仿宋" w:cs="仿宋"/>
          <w:sz w:val="32"/>
          <w:szCs w:val="32"/>
          <w:lang w:val="en-US" w:eastAsia="zh-CN" w:bidi="en-US"/>
        </w:rPr>
        <w:t>12.15</w:t>
      </w:r>
      <w:r>
        <w:rPr>
          <w:rFonts w:hint="eastAsia" w:ascii="仿宋" w:hAnsi="仿宋" w:eastAsia="仿宋" w:cs="仿宋"/>
          <w:sz w:val="32"/>
          <w:szCs w:val="32"/>
        </w:rPr>
        <w:t>万元，占</w:t>
      </w:r>
      <w:r>
        <w:rPr>
          <w:rFonts w:hint="eastAsia" w:ascii="仿宋" w:hAnsi="仿宋" w:eastAsia="仿宋" w:cs="仿宋"/>
          <w:sz w:val="32"/>
          <w:szCs w:val="32"/>
          <w:lang w:val="en-US" w:eastAsia="zh-CN"/>
        </w:rPr>
        <w:t>10.65</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rPr>
        <w:t>医疗卫生与计划生育支出</w:t>
      </w:r>
      <w:r>
        <w:rPr>
          <w:rFonts w:hint="eastAsia" w:ascii="仿宋" w:hAnsi="仿宋" w:eastAsia="仿宋" w:cs="仿宋"/>
          <w:sz w:val="32"/>
          <w:szCs w:val="32"/>
          <w:lang w:val="en-US" w:eastAsia="zh-CN" w:bidi="en-US"/>
        </w:rPr>
        <w:t>3.75</w:t>
      </w:r>
      <w:r>
        <w:rPr>
          <w:rFonts w:hint="eastAsia" w:ascii="仿宋" w:hAnsi="仿宋" w:eastAsia="仿宋" w:cs="仿宋"/>
          <w:sz w:val="32"/>
          <w:szCs w:val="32"/>
        </w:rPr>
        <w:t>万元，占</w:t>
      </w:r>
      <w:r>
        <w:rPr>
          <w:rFonts w:hint="eastAsia" w:ascii="仿宋" w:hAnsi="仿宋" w:eastAsia="仿宋" w:cs="仿宋"/>
          <w:sz w:val="32"/>
          <w:szCs w:val="32"/>
          <w:lang w:val="en-US" w:eastAsia="zh-CN" w:bidi="en-US"/>
        </w:rPr>
        <w:t>3.29</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rPr>
        <w:t>住房保障支出</w:t>
      </w:r>
      <w:r>
        <w:rPr>
          <w:rFonts w:hint="eastAsia" w:ascii="仿宋" w:hAnsi="仿宋" w:eastAsia="仿宋" w:cs="仿宋"/>
          <w:sz w:val="32"/>
          <w:szCs w:val="32"/>
          <w:lang w:val="en-US" w:eastAsia="zh-CN" w:bidi="en-US"/>
        </w:rPr>
        <w:t>6.92</w:t>
      </w:r>
      <w:r>
        <w:rPr>
          <w:rFonts w:hint="eastAsia" w:ascii="仿宋" w:hAnsi="仿宋" w:eastAsia="仿宋" w:cs="仿宋"/>
          <w:sz w:val="32"/>
          <w:szCs w:val="32"/>
        </w:rPr>
        <w:t>万元，占</w:t>
      </w:r>
      <w:r>
        <w:rPr>
          <w:rFonts w:hint="eastAsia" w:ascii="仿宋" w:hAnsi="仿宋" w:eastAsia="仿宋" w:cs="仿宋"/>
          <w:sz w:val="32"/>
          <w:szCs w:val="32"/>
          <w:lang w:val="en-US" w:eastAsia="zh-CN"/>
        </w:rPr>
        <w:t>6.06</w:t>
      </w:r>
      <w:r>
        <w:rPr>
          <w:rFonts w:hint="eastAsia" w:ascii="仿宋" w:hAnsi="仿宋" w:eastAsia="仿宋" w:cs="仿宋"/>
          <w:sz w:val="32"/>
          <w:szCs w:val="32"/>
        </w:rPr>
        <w:t>%</w:t>
      </w:r>
      <w:r>
        <w:rPr>
          <w:rFonts w:hint="eastAsia" w:ascii="仿宋" w:hAnsi="仿宋" w:eastAsia="仿宋" w:cs="仿宋"/>
          <w:sz w:val="32"/>
          <w:szCs w:val="32"/>
          <w:lang w:eastAsia="zh-CN"/>
        </w:rPr>
        <w:t>。</w:t>
      </w:r>
    </w:p>
    <w:p>
      <w:pPr>
        <w:pStyle w:val="11"/>
        <w:shd w:val="clear" w:color="auto" w:fill="auto"/>
        <w:tabs>
          <w:tab w:val="left" w:pos="1473"/>
        </w:tabs>
        <w:spacing w:after="0" w:line="360" w:lineRule="auto"/>
        <w:ind w:firstLine="640" w:firstLineChars="200"/>
        <w:jc w:val="both"/>
        <w:rPr>
          <w:rFonts w:ascii="仿宋" w:hAnsi="仿宋" w:eastAsia="仿宋" w:cs="仿宋"/>
          <w:sz w:val="32"/>
          <w:szCs w:val="32"/>
        </w:rPr>
      </w:pPr>
      <w:r>
        <w:rPr>
          <w:rStyle w:val="42"/>
          <w:rFonts w:hint="eastAsia" w:ascii="仿宋" w:hAnsi="仿宋" w:eastAsia="仿宋" w:cs="仿宋"/>
          <w:b w:val="0"/>
          <w:bCs w:val="0"/>
          <w:sz w:val="32"/>
          <w:szCs w:val="32"/>
        </w:rPr>
        <w:t>二、</w:t>
      </w:r>
      <w:r>
        <w:rPr>
          <w:rStyle w:val="42"/>
          <w:rFonts w:hint="eastAsia" w:ascii="仿宋" w:hAnsi="仿宋" w:eastAsia="仿宋" w:cs="仿宋"/>
          <w:b w:val="0"/>
          <w:bCs w:val="0"/>
          <w:sz w:val="32"/>
          <w:szCs w:val="32"/>
        </w:rPr>
        <w:tab/>
      </w:r>
      <w:r>
        <w:rPr>
          <w:rFonts w:hint="eastAsia" w:ascii="仿宋" w:hAnsi="仿宋" w:eastAsia="仿宋" w:cs="仿宋"/>
          <w:sz w:val="32"/>
          <w:szCs w:val="32"/>
        </w:rPr>
        <w:t>关于2019年一般公共预算拨款情况说明</w:t>
      </w:r>
    </w:p>
    <w:p>
      <w:pPr>
        <w:pStyle w:val="44"/>
        <w:shd w:val="clear" w:color="auto" w:fill="auto"/>
        <w:tabs>
          <w:tab w:val="left" w:pos="1573"/>
        </w:tabs>
        <w:spacing w:line="360" w:lineRule="auto"/>
        <w:ind w:firstLine="640" w:firstLineChars="200"/>
        <w:jc w:val="both"/>
        <w:rPr>
          <w:rFonts w:ascii="仿宋" w:hAnsi="仿宋" w:eastAsia="仿宋" w:cs="仿宋"/>
          <w:sz w:val="32"/>
          <w:szCs w:val="32"/>
        </w:rPr>
      </w:pPr>
      <w:r>
        <w:rPr>
          <w:rFonts w:hint="eastAsia" w:ascii="仿宋" w:hAnsi="仿宋" w:eastAsia="仿宋" w:cs="仿宋"/>
          <w:sz w:val="32"/>
          <w:szCs w:val="32"/>
        </w:rPr>
        <w:t>（一）一般公共预算拨款规模变化情况。</w:t>
      </w:r>
    </w:p>
    <w:p>
      <w:pPr>
        <w:pStyle w:val="13"/>
        <w:shd w:val="clear" w:color="auto" w:fill="auto"/>
        <w:spacing w:before="0" w:after="0" w:line="360" w:lineRule="auto"/>
        <w:ind w:firstLine="760" w:firstLineChars="200"/>
        <w:rPr>
          <w:rFonts w:ascii="仿宋" w:hAnsi="仿宋" w:eastAsia="仿宋" w:cs="仿宋"/>
          <w:sz w:val="32"/>
          <w:szCs w:val="32"/>
          <w:lang w:val="en-US"/>
        </w:rPr>
      </w:pP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2019年一般公共预算拨款</w:t>
      </w:r>
      <w:r>
        <w:rPr>
          <w:rFonts w:hint="eastAsia" w:ascii="仿宋" w:hAnsi="仿宋" w:eastAsia="仿宋" w:cs="仿宋"/>
          <w:sz w:val="32"/>
          <w:szCs w:val="32"/>
          <w:lang w:val="en-US" w:eastAsia="zh-CN" w:bidi="en-US"/>
        </w:rPr>
        <w:t>114.11</w:t>
      </w:r>
      <w:r>
        <w:rPr>
          <w:rFonts w:hint="eastAsia" w:ascii="仿宋" w:hAnsi="仿宋" w:eastAsia="仿宋" w:cs="仿宋"/>
          <w:sz w:val="32"/>
          <w:szCs w:val="32"/>
        </w:rPr>
        <w:t>万元，比2018年预算拨款增加</w:t>
      </w:r>
      <w:r>
        <w:rPr>
          <w:rFonts w:hint="eastAsia" w:ascii="仿宋" w:hAnsi="仿宋" w:eastAsia="仿宋" w:cs="仿宋"/>
          <w:sz w:val="32"/>
          <w:szCs w:val="32"/>
          <w:lang w:val="en-US" w:eastAsia="zh-CN"/>
        </w:rPr>
        <w:t>30.61</w:t>
      </w:r>
      <w:r>
        <w:rPr>
          <w:rFonts w:hint="eastAsia" w:ascii="仿宋" w:hAnsi="仿宋" w:eastAsia="仿宋" w:cs="仿宋"/>
          <w:sz w:val="32"/>
          <w:szCs w:val="32"/>
        </w:rPr>
        <w:t>万元，增长</w:t>
      </w:r>
      <w:r>
        <w:rPr>
          <w:rFonts w:hint="eastAsia" w:ascii="仿宋" w:hAnsi="仿宋" w:eastAsia="仿宋" w:cs="仿宋"/>
          <w:sz w:val="32"/>
          <w:szCs w:val="32"/>
          <w:lang w:val="en-US" w:eastAsia="zh-CN"/>
        </w:rPr>
        <w:t>36.66</w:t>
      </w:r>
      <w:r>
        <w:rPr>
          <w:rFonts w:hint="eastAsia" w:ascii="仿宋" w:hAnsi="仿宋" w:eastAsia="仿宋" w:cs="仿宋"/>
          <w:sz w:val="32"/>
          <w:szCs w:val="32"/>
        </w:rPr>
        <w:t>%,增长原因主要</w:t>
      </w:r>
      <w:r>
        <w:rPr>
          <w:rFonts w:hint="eastAsia" w:ascii="仿宋" w:hAnsi="仿宋" w:eastAsia="仿宋" w:cs="仿宋"/>
          <w:sz w:val="32"/>
          <w:szCs w:val="32"/>
          <w:lang w:eastAsia="zh-CN"/>
        </w:rPr>
        <w:t>是：一人员增加</w:t>
      </w:r>
      <w:r>
        <w:rPr>
          <w:rFonts w:hint="eastAsia" w:ascii="仿宋" w:hAnsi="仿宋" w:eastAsia="仿宋" w:cs="仿宋"/>
          <w:sz w:val="32"/>
          <w:szCs w:val="32"/>
          <w:lang w:val="en-US" w:eastAsia="zh-CN"/>
        </w:rPr>
        <w:t>1人，二正常调资及社会保险缴费增加。</w:t>
      </w:r>
    </w:p>
    <w:p>
      <w:pPr>
        <w:pStyle w:val="44"/>
        <w:shd w:val="clear" w:color="auto" w:fill="auto"/>
        <w:tabs>
          <w:tab w:val="left" w:pos="1578"/>
        </w:tabs>
        <w:spacing w:line="360" w:lineRule="auto"/>
        <w:ind w:firstLine="640" w:firstLineChars="200"/>
        <w:jc w:val="both"/>
        <w:rPr>
          <w:rFonts w:ascii="仿宋" w:hAnsi="仿宋" w:eastAsia="仿宋" w:cs="仿宋"/>
          <w:sz w:val="32"/>
          <w:szCs w:val="32"/>
        </w:rPr>
      </w:pPr>
      <w:r>
        <w:rPr>
          <w:rFonts w:hint="eastAsia" w:ascii="仿宋" w:hAnsi="仿宋" w:eastAsia="仿宋" w:cs="仿宋"/>
          <w:sz w:val="32"/>
          <w:szCs w:val="32"/>
        </w:rPr>
        <w:t>（二）一般公共预算拨款结构情况。</w:t>
      </w:r>
    </w:p>
    <w:p>
      <w:pPr>
        <w:pStyle w:val="13"/>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rPr>
        <w:t>一般公</w:t>
      </w:r>
      <w:r>
        <w:rPr>
          <w:rFonts w:hint="eastAsia" w:ascii="仿宋" w:hAnsi="仿宋" w:eastAsia="仿宋" w:cs="仿宋"/>
          <w:sz w:val="32"/>
          <w:szCs w:val="32"/>
          <w:lang w:eastAsia="zh-CN"/>
        </w:rPr>
        <w:t>共服务支出</w:t>
      </w:r>
      <w:r>
        <w:rPr>
          <w:rFonts w:hint="eastAsia" w:ascii="仿宋" w:hAnsi="仿宋" w:eastAsia="仿宋" w:cs="仿宋"/>
          <w:sz w:val="32"/>
          <w:szCs w:val="32"/>
          <w:lang w:val="en-US" w:eastAsia="zh-CN"/>
        </w:rPr>
        <w:t>91.29</w:t>
      </w:r>
      <w:r>
        <w:rPr>
          <w:rFonts w:hint="eastAsia" w:ascii="仿宋" w:hAnsi="仿宋" w:eastAsia="仿宋" w:cs="仿宋"/>
          <w:sz w:val="32"/>
          <w:szCs w:val="32"/>
        </w:rPr>
        <w:t>万元</w:t>
      </w:r>
      <w:r>
        <w:rPr>
          <w:rFonts w:hint="eastAsia" w:ascii="仿宋" w:hAnsi="仿宋" w:eastAsia="仿宋" w:cs="仿宋"/>
          <w:sz w:val="32"/>
          <w:szCs w:val="32"/>
          <w:lang w:eastAsia="zh-CN"/>
        </w:rPr>
        <w:t>，</w:t>
      </w:r>
      <w:r>
        <w:rPr>
          <w:rFonts w:hint="eastAsia" w:ascii="仿宋" w:hAnsi="仿宋" w:eastAsia="仿宋" w:cs="仿宋"/>
          <w:sz w:val="32"/>
          <w:szCs w:val="32"/>
        </w:rPr>
        <w:t>占</w:t>
      </w:r>
      <w:r>
        <w:rPr>
          <w:rFonts w:hint="eastAsia" w:ascii="仿宋" w:hAnsi="仿宋" w:eastAsia="仿宋" w:cs="仿宋"/>
          <w:sz w:val="32"/>
          <w:szCs w:val="32"/>
          <w:lang w:val="en-US" w:eastAsia="zh-CN"/>
        </w:rPr>
        <w:t>80.00</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rPr>
        <w:t>社会保障和就业支出</w:t>
      </w:r>
      <w:r>
        <w:rPr>
          <w:rFonts w:hint="eastAsia" w:ascii="仿宋" w:hAnsi="仿宋" w:eastAsia="仿宋" w:cs="仿宋"/>
          <w:sz w:val="32"/>
          <w:szCs w:val="32"/>
          <w:lang w:val="en-US" w:eastAsia="zh-CN" w:bidi="en-US"/>
        </w:rPr>
        <w:t>12.15</w:t>
      </w:r>
      <w:r>
        <w:rPr>
          <w:rFonts w:hint="eastAsia" w:ascii="仿宋" w:hAnsi="仿宋" w:eastAsia="仿宋" w:cs="仿宋"/>
          <w:sz w:val="32"/>
          <w:szCs w:val="32"/>
        </w:rPr>
        <w:t>万元，占</w:t>
      </w:r>
      <w:r>
        <w:rPr>
          <w:rFonts w:hint="eastAsia" w:ascii="仿宋" w:hAnsi="仿宋" w:eastAsia="仿宋" w:cs="仿宋"/>
          <w:sz w:val="32"/>
          <w:szCs w:val="32"/>
          <w:lang w:val="en-US" w:eastAsia="zh-CN"/>
        </w:rPr>
        <w:t>10.65</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rPr>
        <w:t>医疗卫生与计划生育支出</w:t>
      </w:r>
      <w:r>
        <w:rPr>
          <w:rFonts w:hint="eastAsia" w:ascii="仿宋" w:hAnsi="仿宋" w:eastAsia="仿宋" w:cs="仿宋"/>
          <w:sz w:val="32"/>
          <w:szCs w:val="32"/>
          <w:lang w:val="en-US" w:eastAsia="zh-CN" w:bidi="en-US"/>
        </w:rPr>
        <w:t>3.75</w:t>
      </w:r>
      <w:r>
        <w:rPr>
          <w:rFonts w:hint="eastAsia" w:ascii="仿宋" w:hAnsi="仿宋" w:eastAsia="仿宋" w:cs="仿宋"/>
          <w:sz w:val="32"/>
          <w:szCs w:val="32"/>
        </w:rPr>
        <w:t>万元，占</w:t>
      </w:r>
      <w:r>
        <w:rPr>
          <w:rFonts w:hint="eastAsia" w:ascii="仿宋" w:hAnsi="仿宋" w:eastAsia="仿宋" w:cs="仿宋"/>
          <w:sz w:val="32"/>
          <w:szCs w:val="32"/>
          <w:lang w:val="en-US" w:eastAsia="zh-CN" w:bidi="en-US"/>
        </w:rPr>
        <w:t>3.29</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rPr>
        <w:t>住房保障支出</w:t>
      </w:r>
      <w:r>
        <w:rPr>
          <w:rFonts w:hint="eastAsia" w:ascii="仿宋" w:hAnsi="仿宋" w:eastAsia="仿宋" w:cs="仿宋"/>
          <w:sz w:val="32"/>
          <w:szCs w:val="32"/>
          <w:lang w:val="en-US" w:eastAsia="zh-CN" w:bidi="en-US"/>
        </w:rPr>
        <w:t>6.92</w:t>
      </w:r>
      <w:r>
        <w:rPr>
          <w:rFonts w:hint="eastAsia" w:ascii="仿宋" w:hAnsi="仿宋" w:eastAsia="仿宋" w:cs="仿宋"/>
          <w:sz w:val="32"/>
          <w:szCs w:val="32"/>
        </w:rPr>
        <w:t>万元，占</w:t>
      </w:r>
      <w:r>
        <w:rPr>
          <w:rFonts w:hint="eastAsia" w:ascii="仿宋" w:hAnsi="仿宋" w:eastAsia="仿宋" w:cs="仿宋"/>
          <w:sz w:val="32"/>
          <w:szCs w:val="32"/>
          <w:lang w:val="en-US" w:eastAsia="zh-CN"/>
        </w:rPr>
        <w:t>6.06</w:t>
      </w:r>
      <w:r>
        <w:rPr>
          <w:rFonts w:hint="eastAsia" w:ascii="仿宋" w:hAnsi="仿宋" w:eastAsia="仿宋" w:cs="仿宋"/>
          <w:sz w:val="32"/>
          <w:szCs w:val="32"/>
        </w:rPr>
        <w:t>%。</w:t>
      </w:r>
    </w:p>
    <w:p>
      <w:pPr>
        <w:pStyle w:val="44"/>
        <w:shd w:val="clear" w:color="auto" w:fill="auto"/>
        <w:tabs>
          <w:tab w:val="left" w:pos="1578"/>
        </w:tabs>
        <w:spacing w:line="360" w:lineRule="auto"/>
        <w:ind w:firstLine="640" w:firstLineChars="200"/>
        <w:jc w:val="both"/>
        <w:rPr>
          <w:rFonts w:ascii="仿宋" w:hAnsi="仿宋" w:eastAsia="仿宋" w:cs="仿宋"/>
          <w:sz w:val="32"/>
          <w:szCs w:val="32"/>
        </w:rPr>
      </w:pPr>
      <w:r>
        <w:rPr>
          <w:rFonts w:hint="eastAsia" w:ascii="仿宋" w:hAnsi="仿宋" w:eastAsia="仿宋" w:cs="仿宋"/>
          <w:sz w:val="32"/>
          <w:szCs w:val="32"/>
        </w:rPr>
        <w:t>（三）一般公共预算拨款具体使用情况。</w:t>
      </w:r>
    </w:p>
    <w:p>
      <w:pPr>
        <w:pStyle w:val="13"/>
        <w:shd w:val="clear" w:color="auto" w:fill="auto"/>
        <w:spacing w:before="0" w:after="0" w:line="360" w:lineRule="auto"/>
        <w:ind w:firstLine="763" w:firstLineChars="200"/>
        <w:jc w:val="both"/>
        <w:rPr>
          <w:rFonts w:hint="eastAsia" w:ascii="仿宋" w:hAnsi="仿宋" w:eastAsia="仿宋" w:cs="仿宋"/>
          <w:sz w:val="32"/>
          <w:szCs w:val="32"/>
          <w:lang w:val="en-US" w:eastAsia="zh-CN"/>
        </w:rPr>
      </w:pPr>
      <w:r>
        <w:rPr>
          <w:rStyle w:val="15"/>
          <w:rFonts w:hint="eastAsia" w:ascii="仿宋" w:hAnsi="仿宋" w:eastAsia="仿宋" w:cs="仿宋"/>
          <w:sz w:val="32"/>
          <w:szCs w:val="32"/>
          <w:lang w:val="en-US" w:bidi="en-US"/>
        </w:rPr>
        <w:t>1.</w:t>
      </w:r>
      <w:r>
        <w:rPr>
          <w:rFonts w:hint="eastAsia" w:ascii="仿宋" w:hAnsi="仿宋" w:eastAsia="仿宋" w:cs="仿宋"/>
          <w:b/>
          <w:bCs/>
          <w:sz w:val="32"/>
          <w:szCs w:val="32"/>
          <w:lang w:val="en-US" w:eastAsia="zh-CN"/>
        </w:rPr>
        <w:t>“一般公共服务支出”</w:t>
      </w:r>
      <w:r>
        <w:rPr>
          <w:rFonts w:hint="eastAsia" w:ascii="仿宋" w:hAnsi="仿宋" w:eastAsia="仿宋" w:cs="仿宋"/>
          <w:sz w:val="32"/>
          <w:szCs w:val="32"/>
          <w:lang w:val="en-US" w:eastAsia="zh-CN"/>
        </w:rPr>
        <w:t>2019年财政拨款预算91.29万元，比2018年财政拨款预算增加24.39万元，增长原因主要是人员增加及正常调资和社保缴费增加。其中:“行政运行”预算62.45万元，主要用于保障部本级及对台办预算单位正常运转支出；“一般行政管理事务”预算14.84万元，主要用于保障部本级及对台办预算单位完成日常工作任务支出；“其他统战事务支出”预算14.00万元，主要用于部本级及对台办预算单位完成专项业务工作的经费支出。</w:t>
      </w:r>
    </w:p>
    <w:p>
      <w:pPr>
        <w:pStyle w:val="13"/>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lang w:val="en-US"/>
        </w:rPr>
        <w:t xml:space="preserve">2. </w:t>
      </w:r>
      <w:r>
        <w:rPr>
          <w:rFonts w:hint="eastAsia" w:ascii="仿宋" w:hAnsi="仿宋" w:eastAsia="仿宋" w:cs="仿宋"/>
          <w:b/>
          <w:bCs/>
          <w:sz w:val="32"/>
          <w:szCs w:val="32"/>
        </w:rPr>
        <w:t>“社会保障和就业支出</w:t>
      </w:r>
      <w:r>
        <w:rPr>
          <w:rFonts w:hint="eastAsia" w:ascii="仿宋" w:hAnsi="仿宋" w:eastAsia="仿宋" w:cs="仿宋"/>
          <w:sz w:val="32"/>
          <w:szCs w:val="32"/>
        </w:rPr>
        <w:t>” 2019年预算</w:t>
      </w:r>
      <w:r>
        <w:rPr>
          <w:rFonts w:hint="eastAsia" w:ascii="仿宋" w:hAnsi="仿宋" w:eastAsia="仿宋" w:cs="仿宋"/>
          <w:sz w:val="32"/>
          <w:szCs w:val="32"/>
          <w:lang w:val="en-US" w:eastAsia="zh-CN"/>
        </w:rPr>
        <w:t>12.15</w:t>
      </w:r>
      <w:r>
        <w:rPr>
          <w:rFonts w:hint="eastAsia" w:ascii="仿宋" w:hAnsi="仿宋" w:eastAsia="仿宋" w:cs="仿宋"/>
          <w:sz w:val="32"/>
          <w:szCs w:val="32"/>
        </w:rPr>
        <w:t>万元，比2018年预算增加</w:t>
      </w:r>
      <w:r>
        <w:rPr>
          <w:rFonts w:hint="eastAsia" w:ascii="仿宋" w:hAnsi="仿宋" w:eastAsia="仿宋" w:cs="仿宋"/>
          <w:sz w:val="32"/>
          <w:szCs w:val="32"/>
          <w:lang w:val="en-US" w:eastAsia="zh-CN" w:bidi="en-US"/>
        </w:rPr>
        <w:t>3.25</w:t>
      </w:r>
      <w:r>
        <w:rPr>
          <w:rFonts w:hint="eastAsia" w:ascii="仿宋" w:hAnsi="仿宋" w:eastAsia="仿宋" w:cs="仿宋"/>
          <w:sz w:val="32"/>
          <w:szCs w:val="32"/>
        </w:rPr>
        <w:t>万元，增长</w:t>
      </w:r>
      <w:r>
        <w:rPr>
          <w:rFonts w:hint="eastAsia" w:ascii="仿宋" w:hAnsi="仿宋" w:eastAsia="仿宋" w:cs="仿宋"/>
          <w:sz w:val="32"/>
          <w:szCs w:val="32"/>
          <w:lang w:val="en-US" w:eastAsia="zh-CN" w:bidi="en-US"/>
        </w:rPr>
        <w:t>36.52</w:t>
      </w:r>
      <w:r>
        <w:rPr>
          <w:rFonts w:hint="eastAsia" w:ascii="仿宋" w:hAnsi="仿宋" w:eastAsia="仿宋" w:cs="仿宋"/>
          <w:sz w:val="32"/>
          <w:szCs w:val="32"/>
        </w:rPr>
        <w:t>%,增长原因主要是</w:t>
      </w:r>
      <w:r>
        <w:rPr>
          <w:rFonts w:hint="eastAsia" w:ascii="仿宋" w:hAnsi="仿宋" w:eastAsia="仿宋" w:cs="仿宋"/>
          <w:sz w:val="32"/>
          <w:szCs w:val="32"/>
          <w:lang w:val="en-US" w:eastAsia="zh-CN"/>
        </w:rPr>
        <w:t>人员增加1人及社会保险缴费增加</w:t>
      </w:r>
      <w:r>
        <w:rPr>
          <w:rFonts w:hint="eastAsia" w:ascii="仿宋" w:hAnsi="仿宋" w:eastAsia="仿宋" w:cs="仿宋"/>
          <w:sz w:val="32"/>
          <w:szCs w:val="32"/>
        </w:rPr>
        <w:t>。其中：“</w:t>
      </w:r>
      <w:r>
        <w:rPr>
          <w:rFonts w:hint="eastAsia" w:ascii="仿宋" w:hAnsi="仿宋" w:eastAsia="仿宋" w:cs="仿宋"/>
          <w:sz w:val="32"/>
          <w:szCs w:val="32"/>
          <w:lang w:eastAsia="zh-CN"/>
        </w:rPr>
        <w:t>其他行政事业单位离退休支出</w:t>
      </w:r>
      <w:r>
        <w:rPr>
          <w:rFonts w:hint="eastAsia" w:ascii="仿宋" w:hAnsi="仿宋" w:eastAsia="仿宋" w:cs="仿宋"/>
          <w:sz w:val="32"/>
          <w:szCs w:val="32"/>
        </w:rPr>
        <w:t>”预算</w:t>
      </w:r>
      <w:r>
        <w:rPr>
          <w:rFonts w:hint="eastAsia" w:ascii="仿宋" w:hAnsi="仿宋" w:eastAsia="仿宋" w:cs="仿宋"/>
          <w:sz w:val="32"/>
          <w:szCs w:val="32"/>
          <w:lang w:val="en-US" w:eastAsia="zh-CN" w:bidi="en-US"/>
        </w:rPr>
        <w:t>0.62</w:t>
      </w:r>
      <w:r>
        <w:rPr>
          <w:rFonts w:hint="eastAsia" w:ascii="仿宋" w:hAnsi="仿宋" w:eastAsia="仿宋" w:cs="仿宋"/>
          <w:sz w:val="32"/>
          <w:szCs w:val="32"/>
        </w:rPr>
        <w:t>万元，主要用于</w:t>
      </w:r>
      <w:r>
        <w:rPr>
          <w:rFonts w:hint="eastAsia" w:ascii="仿宋" w:hAnsi="仿宋" w:eastAsia="仿宋" w:cs="仿宋"/>
          <w:sz w:val="32"/>
          <w:szCs w:val="32"/>
          <w:lang w:eastAsia="zh-CN"/>
        </w:rPr>
        <w:t>部本级</w:t>
      </w:r>
      <w:r>
        <w:rPr>
          <w:rFonts w:hint="eastAsia" w:ascii="仿宋" w:hAnsi="仿宋" w:eastAsia="仿宋" w:cs="仿宋"/>
          <w:sz w:val="32"/>
          <w:szCs w:val="32"/>
        </w:rPr>
        <w:t>预算</w:t>
      </w:r>
      <w:r>
        <w:rPr>
          <w:rFonts w:hint="eastAsia" w:ascii="仿宋" w:hAnsi="仿宋" w:eastAsia="仿宋" w:cs="仿宋"/>
          <w:sz w:val="32"/>
          <w:szCs w:val="32"/>
          <w:lang w:eastAsia="zh-CN"/>
        </w:rPr>
        <w:t>单位</w:t>
      </w:r>
      <w:r>
        <w:rPr>
          <w:rFonts w:hint="eastAsia" w:ascii="仿宋" w:hAnsi="仿宋" w:eastAsia="仿宋" w:cs="仿宋"/>
          <w:sz w:val="32"/>
          <w:szCs w:val="32"/>
          <w:lang w:val="en-US" w:eastAsia="zh-CN"/>
        </w:rPr>
        <w:t>遗属补助</w:t>
      </w:r>
      <w:r>
        <w:rPr>
          <w:rFonts w:hint="eastAsia" w:ascii="仿宋" w:hAnsi="仿宋" w:eastAsia="仿宋" w:cs="仿宋"/>
          <w:sz w:val="32"/>
          <w:szCs w:val="32"/>
          <w:lang w:eastAsia="zh-CN"/>
        </w:rPr>
        <w:t>；</w:t>
      </w:r>
      <w:r>
        <w:rPr>
          <w:rFonts w:hint="eastAsia" w:ascii="仿宋" w:hAnsi="仿宋" w:eastAsia="仿宋" w:cs="仿宋"/>
          <w:sz w:val="32"/>
          <w:szCs w:val="32"/>
        </w:rPr>
        <w:t>“机关事业单位基本养老保险缴费支出”</w:t>
      </w:r>
      <w:r>
        <w:rPr>
          <w:rFonts w:hint="eastAsia" w:ascii="仿宋" w:hAnsi="仿宋" w:eastAsia="仿宋" w:cs="仿宋"/>
          <w:sz w:val="32"/>
          <w:szCs w:val="32"/>
          <w:lang w:val="en-US" w:eastAsia="zh-CN"/>
        </w:rPr>
        <w:t>11.53</w:t>
      </w:r>
      <w:r>
        <w:rPr>
          <w:rFonts w:hint="eastAsia" w:ascii="仿宋" w:hAnsi="仿宋" w:eastAsia="仿宋" w:cs="仿宋"/>
          <w:sz w:val="32"/>
          <w:szCs w:val="32"/>
        </w:rPr>
        <w:t>万元，主要用于</w:t>
      </w:r>
      <w:r>
        <w:rPr>
          <w:rFonts w:hint="eastAsia" w:ascii="仿宋" w:hAnsi="仿宋" w:eastAsia="仿宋" w:cs="仿宋"/>
          <w:sz w:val="32"/>
          <w:szCs w:val="32"/>
          <w:lang w:eastAsia="zh-CN"/>
        </w:rPr>
        <w:t>部本级</w:t>
      </w:r>
      <w:r>
        <w:rPr>
          <w:rFonts w:hint="eastAsia" w:ascii="仿宋" w:hAnsi="仿宋" w:eastAsia="仿宋" w:cs="仿宋"/>
          <w:sz w:val="32"/>
          <w:szCs w:val="32"/>
        </w:rPr>
        <w:t>预算</w:t>
      </w:r>
      <w:r>
        <w:rPr>
          <w:rFonts w:hint="eastAsia" w:ascii="仿宋" w:hAnsi="仿宋" w:eastAsia="仿宋" w:cs="仿宋"/>
          <w:sz w:val="32"/>
          <w:szCs w:val="32"/>
          <w:lang w:eastAsia="zh-CN"/>
        </w:rPr>
        <w:t>单位机关人员基本养老保险缴费的经费支出。</w:t>
      </w:r>
    </w:p>
    <w:p>
      <w:pPr>
        <w:pStyle w:val="13"/>
        <w:numPr>
          <w:ilvl w:val="0"/>
          <w:numId w:val="0"/>
        </w:numPr>
        <w:shd w:val="clear" w:color="auto" w:fill="auto"/>
        <w:tabs>
          <w:tab w:val="left" w:pos="1107"/>
        </w:tabs>
        <w:spacing w:before="0" w:after="0" w:line="360" w:lineRule="auto"/>
        <w:ind w:firstLine="763" w:firstLineChars="200"/>
        <w:jc w:val="both"/>
        <w:rPr>
          <w:rFonts w:ascii="仿宋" w:hAnsi="仿宋" w:eastAsia="仿宋" w:cs="仿宋"/>
          <w:sz w:val="32"/>
          <w:szCs w:val="32"/>
        </w:rPr>
      </w:pPr>
      <w:r>
        <w:rPr>
          <w:rStyle w:val="15"/>
          <w:rFonts w:hint="eastAsia" w:ascii="仿宋" w:hAnsi="仿宋" w:eastAsia="仿宋" w:cs="仿宋"/>
          <w:sz w:val="32"/>
          <w:szCs w:val="32"/>
          <w:lang w:val="en-US" w:bidi="en-US"/>
        </w:rPr>
        <w:t>3.</w:t>
      </w:r>
      <w:r>
        <w:rPr>
          <w:rStyle w:val="15"/>
          <w:rFonts w:hint="eastAsia" w:ascii="仿宋" w:hAnsi="仿宋" w:eastAsia="仿宋" w:cs="仿宋"/>
          <w:sz w:val="32"/>
          <w:szCs w:val="32"/>
        </w:rPr>
        <w:t>“医疗卫生与计划生育支出</w:t>
      </w:r>
      <w:r>
        <w:rPr>
          <w:rFonts w:hint="eastAsia" w:ascii="仿宋" w:hAnsi="仿宋" w:eastAsia="仿宋" w:cs="仿宋"/>
          <w:sz w:val="32"/>
          <w:szCs w:val="32"/>
        </w:rPr>
        <w:t>” 2019年预算</w:t>
      </w:r>
      <w:r>
        <w:rPr>
          <w:rFonts w:hint="eastAsia" w:ascii="仿宋" w:hAnsi="仿宋" w:eastAsia="仿宋" w:cs="仿宋"/>
          <w:sz w:val="32"/>
          <w:szCs w:val="32"/>
          <w:lang w:val="en-US" w:eastAsia="zh-CN" w:bidi="en-US"/>
        </w:rPr>
        <w:t>3.75</w:t>
      </w:r>
      <w:r>
        <w:rPr>
          <w:rFonts w:hint="eastAsia" w:ascii="仿宋" w:hAnsi="仿宋" w:eastAsia="仿宋" w:cs="仿宋"/>
          <w:sz w:val="32"/>
          <w:szCs w:val="32"/>
        </w:rPr>
        <w:t>万元，比2018年预算增加</w:t>
      </w:r>
      <w:r>
        <w:rPr>
          <w:rFonts w:hint="eastAsia" w:ascii="仿宋" w:hAnsi="仿宋" w:eastAsia="仿宋" w:cs="仿宋"/>
          <w:sz w:val="32"/>
          <w:szCs w:val="32"/>
          <w:lang w:val="en-US" w:eastAsia="zh-CN" w:bidi="en-US"/>
        </w:rPr>
        <w:t>1.05</w:t>
      </w:r>
      <w:r>
        <w:rPr>
          <w:rFonts w:hint="eastAsia" w:ascii="仿宋" w:hAnsi="仿宋" w:eastAsia="仿宋" w:cs="仿宋"/>
          <w:sz w:val="32"/>
          <w:szCs w:val="32"/>
        </w:rPr>
        <w:t>万元，增长</w:t>
      </w:r>
      <w:r>
        <w:rPr>
          <w:rFonts w:hint="eastAsia" w:ascii="仿宋" w:hAnsi="仿宋" w:eastAsia="仿宋" w:cs="仿宋"/>
          <w:sz w:val="32"/>
          <w:szCs w:val="32"/>
          <w:lang w:val="en-US" w:eastAsia="zh-CN" w:bidi="en-US"/>
        </w:rPr>
        <w:t>38.89</w:t>
      </w:r>
      <w:r>
        <w:rPr>
          <w:rFonts w:hint="eastAsia" w:ascii="仿宋" w:hAnsi="仿宋" w:eastAsia="仿宋" w:cs="仿宋"/>
          <w:sz w:val="32"/>
          <w:szCs w:val="32"/>
        </w:rPr>
        <w:t>%，增长原因主要是</w:t>
      </w:r>
      <w:r>
        <w:rPr>
          <w:rFonts w:hint="eastAsia" w:ascii="仿宋" w:hAnsi="仿宋" w:eastAsia="仿宋" w:cs="仿宋"/>
          <w:sz w:val="32"/>
          <w:szCs w:val="32"/>
          <w:lang w:val="en-US" w:eastAsia="zh-CN"/>
        </w:rPr>
        <w:t>人员增加1人及社会保险缴费增加</w:t>
      </w:r>
      <w:r>
        <w:rPr>
          <w:rFonts w:hint="eastAsia" w:ascii="仿宋" w:hAnsi="仿宋" w:eastAsia="仿宋" w:cs="仿宋"/>
          <w:sz w:val="32"/>
          <w:szCs w:val="32"/>
        </w:rPr>
        <w:t>。其中：“行政单位医疗”预算</w:t>
      </w:r>
      <w:r>
        <w:rPr>
          <w:rFonts w:hint="eastAsia" w:ascii="仿宋" w:hAnsi="仿宋" w:eastAsia="仿宋" w:cs="仿宋"/>
          <w:sz w:val="32"/>
          <w:szCs w:val="32"/>
          <w:lang w:val="en-US" w:eastAsia="zh-CN" w:bidi="en-US"/>
        </w:rPr>
        <w:t>3.75</w:t>
      </w:r>
      <w:r>
        <w:rPr>
          <w:rFonts w:hint="eastAsia" w:ascii="仿宋" w:hAnsi="仿宋" w:eastAsia="仿宋" w:cs="仿宋"/>
          <w:sz w:val="32"/>
          <w:szCs w:val="32"/>
        </w:rPr>
        <w:t>万元，主要用于</w:t>
      </w:r>
      <w:r>
        <w:rPr>
          <w:rFonts w:hint="eastAsia" w:ascii="仿宋" w:hAnsi="仿宋" w:eastAsia="仿宋" w:cs="仿宋"/>
          <w:sz w:val="32"/>
          <w:szCs w:val="32"/>
          <w:lang w:val="en-US" w:eastAsia="zh-CN"/>
        </w:rPr>
        <w:t>部本级医疗保障方面的支出</w:t>
      </w:r>
      <w:r>
        <w:rPr>
          <w:rFonts w:hint="eastAsia" w:ascii="仿宋" w:hAnsi="仿宋" w:eastAsia="仿宋" w:cs="仿宋"/>
          <w:sz w:val="32"/>
          <w:szCs w:val="32"/>
        </w:rPr>
        <w:t>。</w:t>
      </w:r>
    </w:p>
    <w:p>
      <w:pPr>
        <w:pStyle w:val="13"/>
        <w:numPr>
          <w:ilvl w:val="0"/>
          <w:numId w:val="0"/>
        </w:numPr>
        <w:shd w:val="clear" w:color="auto" w:fill="auto"/>
        <w:tabs>
          <w:tab w:val="left" w:pos="1107"/>
        </w:tabs>
        <w:spacing w:before="0" w:after="0" w:line="360" w:lineRule="auto"/>
        <w:ind w:firstLine="763" w:firstLineChars="200"/>
        <w:rPr>
          <w:rFonts w:ascii="仿宋" w:hAnsi="仿宋" w:eastAsia="仿宋" w:cs="仿宋"/>
          <w:sz w:val="32"/>
          <w:szCs w:val="32"/>
        </w:rPr>
      </w:pPr>
      <w:r>
        <w:rPr>
          <w:rStyle w:val="15"/>
          <w:rFonts w:hint="eastAsia" w:ascii="仿宋" w:hAnsi="仿宋" w:eastAsia="仿宋" w:cs="仿宋"/>
          <w:sz w:val="32"/>
          <w:szCs w:val="32"/>
          <w:lang w:val="en-US"/>
        </w:rPr>
        <w:t>4.</w:t>
      </w:r>
      <w:r>
        <w:rPr>
          <w:rStyle w:val="15"/>
          <w:rFonts w:hint="eastAsia" w:ascii="仿宋" w:hAnsi="仿宋" w:eastAsia="仿宋" w:cs="仿宋"/>
          <w:sz w:val="32"/>
          <w:szCs w:val="32"/>
        </w:rPr>
        <w:t xml:space="preserve">“住房保障支出” </w:t>
      </w:r>
      <w:r>
        <w:rPr>
          <w:rFonts w:hint="eastAsia" w:ascii="仿宋" w:hAnsi="仿宋" w:eastAsia="仿宋" w:cs="仿宋"/>
          <w:sz w:val="32"/>
          <w:szCs w:val="32"/>
        </w:rPr>
        <w:t>2019年预算</w:t>
      </w:r>
      <w:r>
        <w:rPr>
          <w:rFonts w:hint="eastAsia" w:ascii="仿宋" w:hAnsi="仿宋" w:eastAsia="仿宋" w:cs="仿宋"/>
          <w:sz w:val="32"/>
          <w:szCs w:val="32"/>
          <w:lang w:val="en-US" w:eastAsia="zh-CN" w:bidi="en-US"/>
        </w:rPr>
        <w:t>6.92</w:t>
      </w:r>
      <w:r>
        <w:rPr>
          <w:rFonts w:hint="eastAsia" w:ascii="仿宋" w:hAnsi="仿宋" w:eastAsia="仿宋" w:cs="仿宋"/>
          <w:sz w:val="32"/>
          <w:szCs w:val="32"/>
        </w:rPr>
        <w:t>万元，比2018年预算增加</w:t>
      </w:r>
      <w:r>
        <w:rPr>
          <w:rFonts w:hint="eastAsia" w:ascii="仿宋" w:hAnsi="仿宋" w:eastAsia="仿宋" w:cs="仿宋"/>
          <w:sz w:val="32"/>
          <w:szCs w:val="32"/>
          <w:lang w:val="en-US" w:eastAsia="zh-CN" w:bidi="en-US"/>
        </w:rPr>
        <w:t>1.92</w:t>
      </w:r>
      <w:r>
        <w:rPr>
          <w:rFonts w:hint="eastAsia" w:ascii="仿宋" w:hAnsi="仿宋" w:eastAsia="仿宋" w:cs="仿宋"/>
          <w:sz w:val="32"/>
          <w:szCs w:val="32"/>
        </w:rPr>
        <w:t>万元，增长</w:t>
      </w:r>
      <w:r>
        <w:rPr>
          <w:rFonts w:hint="eastAsia" w:ascii="仿宋" w:hAnsi="仿宋" w:eastAsia="仿宋" w:cs="仿宋"/>
          <w:sz w:val="32"/>
          <w:szCs w:val="32"/>
          <w:lang w:val="en-US" w:eastAsia="zh-CN" w:bidi="en-US"/>
        </w:rPr>
        <w:t>38.40</w:t>
      </w:r>
      <w:r>
        <w:rPr>
          <w:rFonts w:hint="eastAsia" w:ascii="仿宋" w:hAnsi="仿宋" w:eastAsia="仿宋" w:cs="仿宋"/>
          <w:sz w:val="32"/>
          <w:szCs w:val="32"/>
        </w:rPr>
        <w:t>%，增长原因主要是</w:t>
      </w:r>
      <w:r>
        <w:rPr>
          <w:rFonts w:hint="eastAsia" w:ascii="仿宋" w:hAnsi="仿宋" w:eastAsia="仿宋" w:cs="仿宋"/>
          <w:sz w:val="32"/>
          <w:szCs w:val="32"/>
          <w:lang w:val="en-US" w:eastAsia="zh-CN"/>
        </w:rPr>
        <w:t>人员增加1人及社会保险缴费增加</w:t>
      </w:r>
      <w:r>
        <w:rPr>
          <w:rFonts w:hint="eastAsia" w:ascii="仿宋" w:hAnsi="仿宋" w:eastAsia="仿宋" w:cs="仿宋"/>
          <w:sz w:val="32"/>
          <w:szCs w:val="32"/>
        </w:rPr>
        <w:t>。其中：“住房公积金”预算</w:t>
      </w:r>
      <w:r>
        <w:rPr>
          <w:rFonts w:hint="eastAsia" w:ascii="仿宋" w:hAnsi="仿宋" w:eastAsia="仿宋" w:cs="仿宋"/>
          <w:sz w:val="32"/>
          <w:szCs w:val="32"/>
          <w:lang w:val="en-US" w:eastAsia="zh-CN" w:bidi="en-US"/>
        </w:rPr>
        <w:t>6.92</w:t>
      </w:r>
      <w:r>
        <w:rPr>
          <w:rFonts w:hint="eastAsia" w:ascii="仿宋" w:hAnsi="仿宋" w:eastAsia="仿宋" w:cs="仿宋"/>
          <w:sz w:val="32"/>
          <w:szCs w:val="32"/>
        </w:rPr>
        <w:t>万元，主要用于</w:t>
      </w:r>
      <w:r>
        <w:rPr>
          <w:rFonts w:hint="eastAsia" w:ascii="仿宋" w:hAnsi="仿宋" w:eastAsia="仿宋" w:cs="仿宋"/>
          <w:sz w:val="32"/>
          <w:szCs w:val="32"/>
          <w:lang w:val="en-US" w:eastAsia="zh-CN"/>
        </w:rPr>
        <w:t>部本级</w:t>
      </w:r>
      <w:r>
        <w:rPr>
          <w:rFonts w:hint="eastAsia" w:ascii="仿宋" w:hAnsi="仿宋" w:eastAsia="仿宋" w:cs="仿宋"/>
          <w:sz w:val="32"/>
          <w:szCs w:val="32"/>
        </w:rPr>
        <w:t>预算</w:t>
      </w:r>
      <w:r>
        <w:rPr>
          <w:rFonts w:hint="eastAsia" w:ascii="仿宋" w:hAnsi="仿宋" w:eastAsia="仿宋" w:cs="仿宋"/>
          <w:sz w:val="32"/>
          <w:szCs w:val="32"/>
          <w:lang w:eastAsia="zh-CN"/>
        </w:rPr>
        <w:t>单位按规定为单位人员缴纳的住房公积金方面的支出</w:t>
      </w:r>
      <w:r>
        <w:rPr>
          <w:rFonts w:hint="eastAsia" w:ascii="仿宋" w:hAnsi="仿宋" w:eastAsia="仿宋" w:cs="仿宋"/>
          <w:sz w:val="32"/>
          <w:szCs w:val="32"/>
        </w:rPr>
        <w:t>。</w:t>
      </w:r>
    </w:p>
    <w:p>
      <w:pPr>
        <w:pStyle w:val="11"/>
        <w:shd w:val="clear" w:color="auto" w:fill="auto"/>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三、关于2019年一般公共预算基本支出情况说明</w:t>
      </w:r>
    </w:p>
    <w:p>
      <w:pPr>
        <w:pStyle w:val="13"/>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2019年一般公共预算基本支出</w:t>
      </w:r>
      <w:r>
        <w:rPr>
          <w:rFonts w:hint="eastAsia" w:ascii="仿宋" w:hAnsi="仿宋" w:eastAsia="仿宋" w:cs="仿宋"/>
          <w:sz w:val="32"/>
          <w:szCs w:val="32"/>
          <w:lang w:val="en-US" w:eastAsia="zh-CN" w:bidi="en-US"/>
        </w:rPr>
        <w:t>100.11</w:t>
      </w:r>
      <w:r>
        <w:rPr>
          <w:rFonts w:hint="eastAsia" w:ascii="仿宋" w:hAnsi="仿宋" w:eastAsia="仿宋" w:cs="仿宋"/>
          <w:sz w:val="32"/>
          <w:szCs w:val="32"/>
        </w:rPr>
        <w:t>万元，其中：</w:t>
      </w:r>
    </w:p>
    <w:p>
      <w:pPr>
        <w:pStyle w:val="13"/>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z w:val="32"/>
          <w:szCs w:val="32"/>
        </w:rPr>
        <w:t>工资福利支出</w:t>
      </w:r>
      <w:r>
        <w:rPr>
          <w:rFonts w:hint="eastAsia" w:ascii="仿宋" w:hAnsi="仿宋" w:eastAsia="仿宋" w:cs="仿宋"/>
          <w:sz w:val="32"/>
          <w:szCs w:val="32"/>
          <w:lang w:val="en-US" w:eastAsia="zh-CN" w:bidi="en-US"/>
        </w:rPr>
        <w:t>84.63</w:t>
      </w:r>
      <w:r>
        <w:rPr>
          <w:rFonts w:hint="eastAsia" w:ascii="仿宋" w:hAnsi="仿宋" w:eastAsia="仿宋" w:cs="仿宋"/>
          <w:sz w:val="32"/>
          <w:szCs w:val="32"/>
        </w:rPr>
        <w:t>万元，主要包括：基本工资、津贴补贴、奖金、机关事业单位基本养老保险缴费、城镇职工基本医疗保险缴费、其他社会保障缴费、住房公积金。</w:t>
      </w:r>
    </w:p>
    <w:p>
      <w:pPr>
        <w:pStyle w:val="13"/>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rPr>
        <w:t>商品和服务支出</w:t>
      </w:r>
      <w:r>
        <w:rPr>
          <w:rFonts w:hint="eastAsia" w:ascii="仿宋" w:hAnsi="仿宋" w:eastAsia="仿宋" w:cs="仿宋"/>
          <w:sz w:val="32"/>
          <w:szCs w:val="32"/>
          <w:lang w:val="en-US" w:eastAsia="zh-CN" w:bidi="en-US"/>
        </w:rPr>
        <w:t>14.84</w:t>
      </w:r>
      <w:r>
        <w:rPr>
          <w:rFonts w:hint="eastAsia" w:ascii="仿宋" w:hAnsi="仿宋" w:eastAsia="仿宋" w:cs="仿宋"/>
          <w:sz w:val="32"/>
          <w:szCs w:val="32"/>
        </w:rPr>
        <w:t>万元，主要包括：办公费、印刷费、</w:t>
      </w:r>
      <w:r>
        <w:rPr>
          <w:rFonts w:hint="eastAsia" w:ascii="仿宋" w:hAnsi="仿宋" w:eastAsia="仿宋" w:cs="仿宋"/>
          <w:sz w:val="32"/>
          <w:szCs w:val="32"/>
          <w:lang w:eastAsia="zh-CN"/>
        </w:rPr>
        <w:t>电费、</w:t>
      </w:r>
      <w:r>
        <w:rPr>
          <w:rFonts w:hint="eastAsia" w:ascii="仿宋" w:hAnsi="仿宋" w:eastAsia="仿宋" w:cs="仿宋"/>
          <w:sz w:val="32"/>
          <w:szCs w:val="32"/>
        </w:rPr>
        <w:t>邮电费、差旅费、</w:t>
      </w:r>
      <w:r>
        <w:rPr>
          <w:rFonts w:hint="eastAsia" w:ascii="仿宋" w:hAnsi="仿宋" w:eastAsia="仿宋" w:cs="仿宋"/>
          <w:sz w:val="32"/>
          <w:szCs w:val="32"/>
          <w:lang w:eastAsia="zh-CN"/>
        </w:rPr>
        <w:t>维修（护）</w:t>
      </w:r>
      <w:r>
        <w:rPr>
          <w:rFonts w:hint="eastAsia" w:ascii="仿宋" w:hAnsi="仿宋" w:eastAsia="仿宋" w:cs="仿宋"/>
          <w:sz w:val="32"/>
          <w:szCs w:val="32"/>
        </w:rPr>
        <w:t>费、</w:t>
      </w:r>
      <w:r>
        <w:rPr>
          <w:rFonts w:hint="eastAsia" w:ascii="仿宋" w:hAnsi="仿宋" w:eastAsia="仿宋" w:cs="仿宋"/>
          <w:sz w:val="32"/>
          <w:szCs w:val="32"/>
          <w:lang w:eastAsia="zh-CN"/>
        </w:rPr>
        <w:t>会议费、公务接待费、劳务费、</w:t>
      </w:r>
      <w:r>
        <w:rPr>
          <w:rFonts w:hint="eastAsia" w:ascii="仿宋" w:hAnsi="仿宋" w:eastAsia="仿宋" w:cs="仿宋"/>
          <w:sz w:val="32"/>
          <w:szCs w:val="32"/>
        </w:rPr>
        <w:t>工会经费、其他交通费用、其他商品和服务支出。</w:t>
      </w:r>
    </w:p>
    <w:p>
      <w:pPr>
        <w:pStyle w:val="13"/>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z w:val="32"/>
          <w:szCs w:val="32"/>
        </w:rPr>
        <w:t>对个人和家庭的补助</w:t>
      </w:r>
      <w:r>
        <w:rPr>
          <w:rFonts w:hint="eastAsia" w:ascii="仿宋" w:hAnsi="仿宋" w:eastAsia="仿宋" w:cs="仿宋"/>
          <w:sz w:val="32"/>
          <w:szCs w:val="32"/>
          <w:lang w:val="en-US" w:eastAsia="zh-CN" w:bidi="en-US"/>
        </w:rPr>
        <w:t>0.64</w:t>
      </w:r>
      <w:r>
        <w:rPr>
          <w:rFonts w:hint="eastAsia" w:ascii="仿宋" w:hAnsi="仿宋" w:eastAsia="仿宋" w:cs="仿宋"/>
          <w:sz w:val="32"/>
          <w:szCs w:val="32"/>
        </w:rPr>
        <w:t>万元，主要包括：</w:t>
      </w:r>
      <w:r>
        <w:rPr>
          <w:rFonts w:hint="eastAsia" w:ascii="仿宋" w:hAnsi="仿宋" w:eastAsia="仿宋" w:cs="仿宋"/>
          <w:sz w:val="32"/>
          <w:szCs w:val="32"/>
          <w:lang w:eastAsia="zh-CN"/>
        </w:rPr>
        <w:t>生活补助、独生子女奖励金费</w:t>
      </w:r>
      <w:r>
        <w:rPr>
          <w:rFonts w:hint="eastAsia" w:ascii="仿宋" w:hAnsi="仿宋" w:eastAsia="仿宋" w:cs="仿宋"/>
          <w:sz w:val="32"/>
          <w:szCs w:val="32"/>
        </w:rPr>
        <w:t>。</w:t>
      </w:r>
    </w:p>
    <w:p>
      <w:pPr>
        <w:pStyle w:val="11"/>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四、</w:t>
      </w:r>
      <w:r>
        <w:rPr>
          <w:rFonts w:hint="eastAsia" w:ascii="仿宋" w:hAnsi="仿宋" w:eastAsia="仿宋" w:cs="仿宋"/>
          <w:sz w:val="32"/>
          <w:szCs w:val="32"/>
        </w:rPr>
        <w:tab/>
      </w:r>
      <w:r>
        <w:rPr>
          <w:rFonts w:hint="eastAsia" w:ascii="仿宋" w:hAnsi="仿宋" w:eastAsia="仿宋" w:cs="仿宋"/>
          <w:sz w:val="32"/>
          <w:szCs w:val="32"/>
        </w:rPr>
        <w:t>关于2019年政府性基金预算拨款情况说明</w:t>
      </w:r>
    </w:p>
    <w:p>
      <w:pPr>
        <w:pStyle w:val="13"/>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2019年政府性基金预算拨款收入</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万元；</w:t>
      </w:r>
      <w:r>
        <w:rPr>
          <w:rFonts w:hint="eastAsia" w:ascii="仿宋" w:hAnsi="仿宋" w:eastAsia="仿宋" w:cs="仿宋"/>
          <w:sz w:val="32"/>
          <w:szCs w:val="32"/>
        </w:rPr>
        <w:t>政府性基金预算拨款安排支出</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万元</w:t>
      </w:r>
      <w:r>
        <w:rPr>
          <w:rFonts w:hint="eastAsia" w:ascii="仿宋" w:hAnsi="仿宋" w:eastAsia="仿宋" w:cs="仿宋"/>
          <w:sz w:val="32"/>
          <w:szCs w:val="32"/>
        </w:rPr>
        <w:t>。</w:t>
      </w:r>
    </w:p>
    <w:p>
      <w:pPr>
        <w:pStyle w:val="11"/>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五、</w:t>
      </w:r>
      <w:r>
        <w:rPr>
          <w:rFonts w:hint="eastAsia" w:ascii="仿宋" w:hAnsi="仿宋" w:eastAsia="仿宋" w:cs="仿宋"/>
          <w:sz w:val="32"/>
          <w:szCs w:val="32"/>
        </w:rPr>
        <w:tab/>
      </w:r>
      <w:r>
        <w:rPr>
          <w:rFonts w:hint="eastAsia" w:ascii="仿宋" w:hAnsi="仿宋" w:eastAsia="仿宋" w:cs="仿宋"/>
          <w:sz w:val="32"/>
          <w:szCs w:val="32"/>
        </w:rPr>
        <w:t>关于2019年收支预算总体情况说明</w:t>
      </w:r>
    </w:p>
    <w:p>
      <w:pPr>
        <w:pStyle w:val="13"/>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rPr>
        <w:t>按照综合预算管理原则，</w:t>
      </w: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所有收入和支出均纳入部门预算管理。</w:t>
      </w: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2019年收支总预算</w:t>
      </w:r>
      <w:r>
        <w:rPr>
          <w:rFonts w:hint="eastAsia" w:ascii="仿宋" w:hAnsi="仿宋" w:eastAsia="仿宋" w:cs="仿宋"/>
          <w:sz w:val="32"/>
          <w:szCs w:val="32"/>
          <w:lang w:val="en-US" w:eastAsia="zh-CN"/>
        </w:rPr>
        <w:t>114.11</w:t>
      </w:r>
      <w:r>
        <w:rPr>
          <w:rFonts w:hint="eastAsia" w:ascii="仿宋" w:hAnsi="仿宋" w:eastAsia="仿宋" w:cs="仿宋"/>
          <w:sz w:val="32"/>
          <w:szCs w:val="32"/>
        </w:rPr>
        <w:t>万元，收入为一般公共预算拨款收入，支出包括：</w:t>
      </w:r>
      <w:r>
        <w:rPr>
          <w:rFonts w:hint="eastAsia" w:ascii="仿宋" w:hAnsi="仿宋" w:eastAsia="仿宋" w:cs="仿宋"/>
          <w:sz w:val="32"/>
          <w:szCs w:val="32"/>
          <w:lang w:eastAsia="zh-CN"/>
        </w:rPr>
        <w:t>一般公共服务支出、</w:t>
      </w:r>
      <w:r>
        <w:rPr>
          <w:rFonts w:hint="eastAsia" w:ascii="仿宋" w:hAnsi="仿宋" w:eastAsia="仿宋" w:cs="仿宋"/>
          <w:sz w:val="32"/>
          <w:szCs w:val="32"/>
        </w:rPr>
        <w:t>社会保障</w:t>
      </w:r>
      <w:r>
        <w:rPr>
          <w:rFonts w:hint="eastAsia" w:ascii="仿宋" w:hAnsi="仿宋" w:eastAsia="仿宋" w:cs="仿宋"/>
          <w:sz w:val="32"/>
          <w:szCs w:val="32"/>
          <w:lang w:eastAsia="zh-CN"/>
        </w:rPr>
        <w:t>和就业</w:t>
      </w:r>
      <w:r>
        <w:rPr>
          <w:rFonts w:hint="eastAsia" w:ascii="仿宋" w:hAnsi="仿宋" w:eastAsia="仿宋" w:cs="仿宋"/>
          <w:sz w:val="32"/>
          <w:szCs w:val="32"/>
        </w:rPr>
        <w:t>支出</w:t>
      </w:r>
      <w:r>
        <w:rPr>
          <w:rFonts w:hint="eastAsia" w:ascii="仿宋" w:hAnsi="仿宋" w:eastAsia="仿宋" w:cs="仿宋"/>
          <w:sz w:val="32"/>
          <w:szCs w:val="32"/>
          <w:lang w:val="en-US" w:bidi="en-US"/>
        </w:rPr>
        <w:t>、</w:t>
      </w:r>
      <w:r>
        <w:rPr>
          <w:rFonts w:hint="eastAsia" w:ascii="仿宋" w:hAnsi="仿宋" w:eastAsia="仿宋" w:cs="仿宋"/>
          <w:sz w:val="32"/>
          <w:szCs w:val="32"/>
        </w:rPr>
        <w:t>医疗卫生与计划生育支出、住房保障支出</w:t>
      </w:r>
      <w:r>
        <w:rPr>
          <w:rFonts w:hint="eastAsia" w:ascii="仿宋" w:hAnsi="仿宋" w:eastAsia="仿宋" w:cs="仿宋"/>
          <w:sz w:val="32"/>
          <w:szCs w:val="32"/>
          <w:lang w:eastAsia="zh-CN"/>
        </w:rPr>
        <w:t>等</w:t>
      </w:r>
      <w:r>
        <w:rPr>
          <w:rFonts w:hint="eastAsia" w:ascii="仿宋" w:hAnsi="仿宋" w:eastAsia="仿宋" w:cs="仿宋"/>
          <w:sz w:val="32"/>
          <w:szCs w:val="32"/>
        </w:rPr>
        <w:t>。</w:t>
      </w:r>
    </w:p>
    <w:p>
      <w:pPr>
        <w:pStyle w:val="11"/>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六、</w:t>
      </w:r>
      <w:r>
        <w:rPr>
          <w:rFonts w:hint="eastAsia" w:ascii="仿宋" w:hAnsi="仿宋" w:eastAsia="仿宋" w:cs="仿宋"/>
          <w:sz w:val="32"/>
          <w:szCs w:val="32"/>
        </w:rPr>
        <w:tab/>
      </w:r>
      <w:r>
        <w:rPr>
          <w:rFonts w:hint="eastAsia" w:ascii="仿宋" w:hAnsi="仿宋" w:eastAsia="仿宋" w:cs="仿宋"/>
          <w:sz w:val="32"/>
          <w:szCs w:val="32"/>
        </w:rPr>
        <w:t>关于2019年收入预算情况说明</w:t>
      </w:r>
    </w:p>
    <w:p>
      <w:pPr>
        <w:pStyle w:val="13"/>
        <w:shd w:val="clear" w:color="auto" w:fill="auto"/>
        <w:spacing w:before="0" w:after="0" w:line="360" w:lineRule="auto"/>
        <w:ind w:firstLine="760" w:firstLineChars="200"/>
        <w:rPr>
          <w:rFonts w:ascii="仿宋" w:hAnsi="仿宋" w:eastAsia="仿宋" w:cs="仿宋"/>
          <w:sz w:val="32"/>
          <w:szCs w:val="32"/>
          <w:lang w:val="en-US"/>
        </w:rPr>
      </w:pP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2019年收入预算</w:t>
      </w:r>
      <w:r>
        <w:rPr>
          <w:rFonts w:hint="eastAsia" w:ascii="仿宋" w:hAnsi="仿宋" w:eastAsia="仿宋" w:cs="仿宋"/>
          <w:sz w:val="32"/>
          <w:szCs w:val="32"/>
          <w:lang w:val="en-US" w:eastAsia="zh-CN"/>
        </w:rPr>
        <w:t>114.11</w:t>
      </w:r>
      <w:r>
        <w:rPr>
          <w:rFonts w:hint="eastAsia" w:ascii="仿宋" w:hAnsi="仿宋" w:eastAsia="仿宋" w:cs="仿宋"/>
          <w:sz w:val="32"/>
          <w:szCs w:val="32"/>
        </w:rPr>
        <w:t>万元，其中： 一般公共预算拨款收入</w:t>
      </w:r>
      <w:r>
        <w:rPr>
          <w:rFonts w:hint="eastAsia" w:ascii="仿宋" w:hAnsi="仿宋" w:eastAsia="仿宋" w:cs="仿宋"/>
          <w:sz w:val="32"/>
          <w:szCs w:val="32"/>
          <w:lang w:val="en-US" w:eastAsia="zh-CN"/>
        </w:rPr>
        <w:t>114.11</w:t>
      </w:r>
      <w:r>
        <w:rPr>
          <w:rFonts w:hint="eastAsia" w:ascii="仿宋" w:hAnsi="仿宋" w:eastAsia="仿宋" w:cs="仿宋"/>
          <w:sz w:val="32"/>
          <w:szCs w:val="32"/>
        </w:rPr>
        <w:t>万元，占100%，比2018年预算增加</w:t>
      </w:r>
      <w:r>
        <w:rPr>
          <w:rFonts w:hint="eastAsia" w:ascii="仿宋" w:hAnsi="仿宋" w:eastAsia="仿宋" w:cs="仿宋"/>
          <w:sz w:val="32"/>
          <w:szCs w:val="32"/>
          <w:lang w:val="en-US" w:eastAsia="zh-CN"/>
        </w:rPr>
        <w:t>30.61</w:t>
      </w:r>
      <w:r>
        <w:rPr>
          <w:rFonts w:hint="eastAsia" w:ascii="仿宋" w:hAnsi="仿宋" w:eastAsia="仿宋" w:cs="仿宋"/>
          <w:sz w:val="32"/>
          <w:szCs w:val="32"/>
        </w:rPr>
        <w:t>万元，增长</w:t>
      </w:r>
      <w:r>
        <w:rPr>
          <w:rFonts w:hint="eastAsia" w:ascii="仿宋" w:hAnsi="仿宋" w:eastAsia="仿宋" w:cs="仿宋"/>
          <w:sz w:val="32"/>
          <w:szCs w:val="32"/>
          <w:lang w:val="en-US" w:eastAsia="zh-CN"/>
        </w:rPr>
        <w:t>36.66</w:t>
      </w:r>
      <w:r>
        <w:rPr>
          <w:rFonts w:hint="eastAsia" w:ascii="仿宋" w:hAnsi="仿宋" w:eastAsia="仿宋" w:cs="仿宋"/>
          <w:sz w:val="32"/>
          <w:szCs w:val="32"/>
        </w:rPr>
        <w:t>%,增长原因主要</w:t>
      </w:r>
      <w:r>
        <w:rPr>
          <w:rFonts w:hint="eastAsia" w:ascii="仿宋" w:hAnsi="仿宋" w:eastAsia="仿宋" w:cs="仿宋"/>
          <w:sz w:val="32"/>
          <w:szCs w:val="32"/>
          <w:lang w:eastAsia="zh-CN"/>
        </w:rPr>
        <w:t>是：一人员增加</w:t>
      </w:r>
      <w:r>
        <w:rPr>
          <w:rFonts w:hint="eastAsia" w:ascii="仿宋" w:hAnsi="仿宋" w:eastAsia="仿宋" w:cs="仿宋"/>
          <w:sz w:val="32"/>
          <w:szCs w:val="32"/>
          <w:lang w:val="en-US" w:eastAsia="zh-CN"/>
        </w:rPr>
        <w:t>1人，二正常调资及社会保险缴费增加。</w:t>
      </w:r>
    </w:p>
    <w:p>
      <w:pPr>
        <w:pStyle w:val="11"/>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七、</w:t>
      </w:r>
      <w:r>
        <w:rPr>
          <w:rFonts w:hint="eastAsia" w:ascii="仿宋" w:hAnsi="仿宋" w:eastAsia="仿宋" w:cs="仿宋"/>
          <w:sz w:val="32"/>
          <w:szCs w:val="32"/>
        </w:rPr>
        <w:tab/>
      </w:r>
      <w:r>
        <w:rPr>
          <w:rFonts w:hint="eastAsia" w:ascii="仿宋" w:hAnsi="仿宋" w:eastAsia="仿宋" w:cs="仿宋"/>
          <w:sz w:val="32"/>
          <w:szCs w:val="32"/>
        </w:rPr>
        <w:t>关于2019年支出预算情况说明</w:t>
      </w:r>
    </w:p>
    <w:p>
      <w:pPr>
        <w:pStyle w:val="13"/>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2019年支出预算</w:t>
      </w:r>
      <w:r>
        <w:rPr>
          <w:rFonts w:hint="eastAsia" w:ascii="仿宋" w:hAnsi="仿宋" w:eastAsia="仿宋" w:cs="仿宋"/>
          <w:sz w:val="32"/>
          <w:szCs w:val="32"/>
          <w:lang w:val="en-US" w:eastAsia="zh-CN"/>
        </w:rPr>
        <w:t>114.11</w:t>
      </w:r>
      <w:r>
        <w:rPr>
          <w:rFonts w:hint="eastAsia" w:ascii="仿宋" w:hAnsi="仿宋" w:eastAsia="仿宋" w:cs="仿宋"/>
          <w:sz w:val="32"/>
          <w:szCs w:val="32"/>
        </w:rPr>
        <w:t>万元，比2018年预算增加</w:t>
      </w:r>
      <w:r>
        <w:rPr>
          <w:rFonts w:hint="eastAsia" w:ascii="仿宋" w:hAnsi="仿宋" w:eastAsia="仿宋" w:cs="仿宋"/>
          <w:sz w:val="32"/>
          <w:szCs w:val="32"/>
          <w:lang w:val="en-US" w:eastAsia="zh-CN"/>
        </w:rPr>
        <w:t>30.61</w:t>
      </w:r>
      <w:r>
        <w:rPr>
          <w:rFonts w:hint="eastAsia" w:ascii="仿宋" w:hAnsi="仿宋" w:eastAsia="仿宋" w:cs="仿宋"/>
          <w:sz w:val="32"/>
          <w:szCs w:val="32"/>
        </w:rPr>
        <w:t>万元，增长</w:t>
      </w:r>
      <w:r>
        <w:rPr>
          <w:rFonts w:hint="eastAsia" w:ascii="仿宋" w:hAnsi="仿宋" w:eastAsia="仿宋" w:cs="仿宋"/>
          <w:sz w:val="32"/>
          <w:szCs w:val="32"/>
          <w:lang w:val="en-US" w:eastAsia="zh-CN"/>
        </w:rPr>
        <w:t>36.66</w:t>
      </w:r>
      <w:r>
        <w:rPr>
          <w:rFonts w:hint="eastAsia" w:ascii="仿宋" w:hAnsi="仿宋" w:eastAsia="仿宋" w:cs="仿宋"/>
          <w:sz w:val="32"/>
          <w:szCs w:val="32"/>
        </w:rPr>
        <w:t>%,增长原因主要</w:t>
      </w:r>
      <w:r>
        <w:rPr>
          <w:rFonts w:hint="eastAsia" w:ascii="仿宋" w:hAnsi="仿宋" w:eastAsia="仿宋" w:cs="仿宋"/>
          <w:sz w:val="32"/>
          <w:szCs w:val="32"/>
          <w:lang w:eastAsia="zh-CN"/>
        </w:rPr>
        <w:t>是：一人员增加</w:t>
      </w:r>
      <w:r>
        <w:rPr>
          <w:rFonts w:hint="eastAsia" w:ascii="仿宋" w:hAnsi="仿宋" w:eastAsia="仿宋" w:cs="仿宋"/>
          <w:sz w:val="32"/>
          <w:szCs w:val="32"/>
          <w:lang w:val="en-US" w:eastAsia="zh-CN"/>
        </w:rPr>
        <w:t>1人，二正常调资及社会保险缴费增加。</w:t>
      </w:r>
      <w:r>
        <w:rPr>
          <w:rFonts w:hint="eastAsia" w:ascii="仿宋" w:hAnsi="仿宋" w:eastAsia="仿宋" w:cs="仿宋"/>
          <w:sz w:val="32"/>
          <w:szCs w:val="32"/>
        </w:rPr>
        <w:t>其中，基本支出</w:t>
      </w:r>
      <w:r>
        <w:rPr>
          <w:rFonts w:hint="eastAsia" w:ascii="仿宋" w:hAnsi="仿宋" w:eastAsia="仿宋" w:cs="仿宋"/>
          <w:sz w:val="32"/>
          <w:szCs w:val="32"/>
          <w:lang w:val="en-US" w:eastAsia="zh-CN"/>
        </w:rPr>
        <w:t>100.11</w:t>
      </w:r>
      <w:r>
        <w:rPr>
          <w:rFonts w:hint="eastAsia" w:ascii="仿宋" w:hAnsi="仿宋" w:eastAsia="仿宋" w:cs="仿宋"/>
          <w:sz w:val="32"/>
          <w:szCs w:val="32"/>
        </w:rPr>
        <w:t>万元，占</w:t>
      </w:r>
      <w:r>
        <w:rPr>
          <w:rFonts w:hint="eastAsia" w:ascii="仿宋" w:hAnsi="仿宋" w:eastAsia="仿宋" w:cs="仿宋"/>
          <w:sz w:val="32"/>
          <w:szCs w:val="32"/>
          <w:lang w:val="en-US" w:eastAsia="zh-CN"/>
        </w:rPr>
        <w:t>87.73</w:t>
      </w:r>
      <w:r>
        <w:rPr>
          <w:rFonts w:hint="eastAsia" w:ascii="仿宋" w:hAnsi="仿宋" w:eastAsia="仿宋" w:cs="仿宋"/>
          <w:sz w:val="32"/>
          <w:szCs w:val="32"/>
        </w:rPr>
        <w:t>%,主要用于</w:t>
      </w:r>
      <w:r>
        <w:rPr>
          <w:rFonts w:hint="eastAsia" w:ascii="仿宋" w:hAnsi="仿宋" w:eastAsia="仿宋" w:cs="仿宋"/>
          <w:sz w:val="32"/>
          <w:szCs w:val="32"/>
          <w:lang w:val="en-US" w:eastAsia="zh-CN"/>
        </w:rPr>
        <w:t>保障机构日常运转、完成日常工作任务等</w:t>
      </w:r>
      <w:r>
        <w:rPr>
          <w:rFonts w:hint="eastAsia" w:ascii="仿宋" w:hAnsi="仿宋" w:eastAsia="仿宋" w:cs="仿宋"/>
          <w:sz w:val="32"/>
          <w:szCs w:val="32"/>
        </w:rPr>
        <w:t>；项目支出</w:t>
      </w:r>
      <w:r>
        <w:rPr>
          <w:rFonts w:hint="eastAsia" w:ascii="仿宋" w:hAnsi="仿宋" w:eastAsia="仿宋" w:cs="仿宋"/>
          <w:sz w:val="32"/>
          <w:szCs w:val="32"/>
          <w:lang w:val="en-US" w:eastAsia="zh-CN"/>
        </w:rPr>
        <w:t>14.00</w:t>
      </w:r>
      <w:r>
        <w:rPr>
          <w:rFonts w:hint="eastAsia" w:ascii="仿宋" w:hAnsi="仿宋" w:eastAsia="仿宋" w:cs="仿宋"/>
          <w:sz w:val="32"/>
          <w:szCs w:val="32"/>
        </w:rPr>
        <w:t>万元，占</w:t>
      </w:r>
      <w:r>
        <w:rPr>
          <w:rFonts w:hint="eastAsia" w:ascii="仿宋" w:hAnsi="仿宋" w:eastAsia="仿宋" w:cs="仿宋"/>
          <w:sz w:val="32"/>
          <w:szCs w:val="32"/>
          <w:lang w:val="en-US" w:eastAsia="zh-CN"/>
        </w:rPr>
        <w:t>12.27</w:t>
      </w:r>
      <w:r>
        <w:rPr>
          <w:rFonts w:hint="eastAsia" w:ascii="仿宋" w:hAnsi="仿宋" w:eastAsia="仿宋" w:cs="仿宋"/>
          <w:sz w:val="32"/>
          <w:szCs w:val="32"/>
        </w:rPr>
        <w:t>%,主要用于</w:t>
      </w:r>
      <w:r>
        <w:rPr>
          <w:rFonts w:hint="eastAsia" w:ascii="仿宋" w:hAnsi="仿宋" w:eastAsia="仿宋" w:cs="仿宋"/>
          <w:sz w:val="32"/>
          <w:szCs w:val="32"/>
          <w:lang w:eastAsia="zh-CN"/>
        </w:rPr>
        <w:t>基本支出之外为完成特定行政任务和统战事业发展目标所发生的支出</w:t>
      </w:r>
      <w:r>
        <w:rPr>
          <w:rFonts w:hint="eastAsia" w:ascii="仿宋" w:hAnsi="仿宋" w:eastAsia="仿宋" w:cs="仿宋"/>
          <w:sz w:val="32"/>
          <w:szCs w:val="32"/>
        </w:rPr>
        <w:t>。</w:t>
      </w:r>
    </w:p>
    <w:p>
      <w:pPr>
        <w:pStyle w:val="11"/>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八、</w:t>
      </w:r>
      <w:r>
        <w:rPr>
          <w:rFonts w:hint="eastAsia" w:ascii="仿宋" w:hAnsi="仿宋" w:eastAsia="仿宋" w:cs="仿宋"/>
          <w:sz w:val="32"/>
          <w:szCs w:val="32"/>
        </w:rPr>
        <w:tab/>
      </w:r>
      <w:r>
        <w:rPr>
          <w:rFonts w:hint="eastAsia" w:ascii="仿宋" w:hAnsi="仿宋" w:eastAsia="仿宋" w:cs="仿宋"/>
          <w:sz w:val="32"/>
          <w:szCs w:val="32"/>
        </w:rPr>
        <w:t>关于2019年国有资本经营预算拨款情况说明</w:t>
      </w:r>
    </w:p>
    <w:p>
      <w:pPr>
        <w:pStyle w:val="13"/>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2019年</w:t>
      </w:r>
      <w:r>
        <w:rPr>
          <w:rFonts w:hint="eastAsia" w:ascii="仿宋" w:hAnsi="仿宋" w:eastAsia="仿宋" w:cs="仿宋"/>
          <w:sz w:val="32"/>
          <w:szCs w:val="32"/>
          <w:lang w:eastAsia="zh-CN"/>
        </w:rPr>
        <w:t>无</w:t>
      </w:r>
      <w:r>
        <w:rPr>
          <w:rFonts w:hint="eastAsia" w:ascii="仿宋" w:hAnsi="仿宋" w:eastAsia="仿宋" w:cs="仿宋"/>
          <w:sz w:val="32"/>
          <w:szCs w:val="32"/>
        </w:rPr>
        <w:t>国有资本经营预算拨款收入，也</w:t>
      </w:r>
      <w:r>
        <w:rPr>
          <w:rFonts w:hint="eastAsia" w:ascii="仿宋" w:hAnsi="仿宋" w:eastAsia="仿宋" w:cs="仿宋"/>
          <w:sz w:val="32"/>
          <w:szCs w:val="32"/>
          <w:lang w:eastAsia="zh-CN"/>
        </w:rPr>
        <w:t>无</w:t>
      </w:r>
      <w:r>
        <w:rPr>
          <w:rFonts w:hint="eastAsia" w:ascii="仿宋" w:hAnsi="仿宋" w:eastAsia="仿宋" w:cs="仿宋"/>
          <w:sz w:val="32"/>
          <w:szCs w:val="32"/>
        </w:rPr>
        <w:t>使用国有资本经营预算拨款安排的支出。</w:t>
      </w:r>
    </w:p>
    <w:p>
      <w:pPr>
        <w:pStyle w:val="13"/>
        <w:numPr>
          <w:ilvl w:val="0"/>
          <w:numId w:val="3"/>
        </w:numPr>
        <w:shd w:val="clear" w:color="auto" w:fill="auto"/>
        <w:spacing w:before="0" w:after="0" w:line="360" w:lineRule="auto"/>
        <w:ind w:firstLine="763" w:firstLineChars="200"/>
        <w:jc w:val="both"/>
        <w:rPr>
          <w:rFonts w:ascii="仿宋" w:hAnsi="仿宋" w:eastAsia="仿宋" w:cs="仿宋"/>
          <w:b/>
          <w:bCs/>
          <w:sz w:val="32"/>
          <w:szCs w:val="32"/>
        </w:rPr>
      </w:pPr>
      <w:r>
        <w:rPr>
          <w:rFonts w:hint="eastAsia" w:ascii="仿宋" w:hAnsi="仿宋" w:eastAsia="仿宋" w:cs="仿宋"/>
          <w:b/>
          <w:bCs/>
          <w:sz w:val="32"/>
          <w:szCs w:val="32"/>
        </w:rPr>
        <w:t>项目绩效目标设置情况说明</w:t>
      </w:r>
    </w:p>
    <w:p>
      <w:pPr>
        <w:pStyle w:val="13"/>
        <w:shd w:val="clear" w:color="auto" w:fill="auto"/>
        <w:spacing w:before="0" w:after="0" w:line="360" w:lineRule="auto"/>
        <w:ind w:firstLine="760" w:firstLineChars="200"/>
        <w:jc w:val="both"/>
        <w:rPr>
          <w:rFonts w:ascii="仿宋" w:hAnsi="仿宋" w:eastAsia="仿宋" w:cs="仿宋"/>
          <w:sz w:val="32"/>
          <w:szCs w:val="32"/>
          <w:lang w:val="en-US"/>
        </w:rPr>
      </w:pP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lang w:val="en-US"/>
        </w:rPr>
        <w:t>2019年</w:t>
      </w:r>
      <w:r>
        <w:rPr>
          <w:rFonts w:hint="eastAsia" w:ascii="仿宋" w:hAnsi="仿宋" w:eastAsia="仿宋" w:cs="仿宋"/>
          <w:sz w:val="32"/>
          <w:szCs w:val="32"/>
          <w:lang w:val="en-US" w:eastAsia="zh-CN"/>
        </w:rPr>
        <w:t>无批复</w:t>
      </w:r>
      <w:r>
        <w:rPr>
          <w:rFonts w:hint="eastAsia" w:ascii="仿宋" w:hAnsi="仿宋" w:eastAsia="仿宋" w:cs="仿宋"/>
          <w:sz w:val="32"/>
          <w:szCs w:val="32"/>
          <w:lang w:val="en-US"/>
        </w:rPr>
        <w:t>绩效目标的项目</w:t>
      </w:r>
      <w:r>
        <w:rPr>
          <w:rFonts w:hint="eastAsia" w:ascii="仿宋" w:hAnsi="仿宋" w:eastAsia="仿宋" w:cs="仿宋"/>
          <w:sz w:val="32"/>
          <w:szCs w:val="32"/>
          <w:lang w:val="en-US" w:eastAsia="zh-CN"/>
        </w:rPr>
        <w:t>及</w:t>
      </w:r>
      <w:r>
        <w:rPr>
          <w:rFonts w:hint="eastAsia" w:ascii="仿宋" w:hAnsi="仿宋" w:eastAsia="仿宋" w:cs="仿宋"/>
          <w:sz w:val="32"/>
          <w:szCs w:val="32"/>
          <w:lang w:val="en-US"/>
        </w:rPr>
        <w:t>绩效目标</w:t>
      </w:r>
      <w:r>
        <w:rPr>
          <w:rFonts w:hint="eastAsia" w:ascii="仿宋" w:hAnsi="仿宋" w:eastAsia="仿宋" w:cs="仿宋"/>
          <w:sz w:val="32"/>
          <w:szCs w:val="32"/>
          <w:lang w:val="en-US" w:eastAsia="zh-CN"/>
        </w:rPr>
        <w:t>设置情况。</w:t>
      </w:r>
    </w:p>
    <w:p>
      <w:pPr>
        <w:pStyle w:val="11"/>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十、</w:t>
      </w:r>
      <w:r>
        <w:rPr>
          <w:rFonts w:hint="eastAsia" w:ascii="仿宋" w:hAnsi="仿宋" w:eastAsia="仿宋" w:cs="仿宋"/>
          <w:sz w:val="32"/>
          <w:szCs w:val="32"/>
        </w:rPr>
        <w:tab/>
      </w:r>
      <w:r>
        <w:rPr>
          <w:rFonts w:hint="eastAsia" w:ascii="仿宋" w:hAnsi="仿宋" w:eastAsia="仿宋" w:cs="仿宋"/>
          <w:sz w:val="32"/>
          <w:szCs w:val="32"/>
        </w:rPr>
        <w:t>其他重要事项情况说明</w:t>
      </w:r>
    </w:p>
    <w:p>
      <w:pPr>
        <w:pStyle w:val="11"/>
        <w:shd w:val="clear" w:color="auto" w:fill="auto"/>
        <w:tabs>
          <w:tab w:val="left" w:pos="1673"/>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sz w:val="32"/>
          <w:szCs w:val="32"/>
        </w:rPr>
        <w:tab/>
      </w:r>
      <w:r>
        <w:rPr>
          <w:rFonts w:hint="eastAsia" w:ascii="仿宋" w:hAnsi="仿宋" w:eastAsia="仿宋" w:cs="仿宋"/>
          <w:sz w:val="32"/>
          <w:szCs w:val="32"/>
        </w:rPr>
        <w:t>机关运行经费。</w:t>
      </w:r>
    </w:p>
    <w:p>
      <w:pPr>
        <w:pStyle w:val="13"/>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2019年机关运行经费财政拨款预算</w:t>
      </w:r>
      <w:r>
        <w:rPr>
          <w:rFonts w:hint="eastAsia" w:ascii="仿宋" w:hAnsi="仿宋" w:eastAsia="仿宋" w:cs="仿宋"/>
          <w:sz w:val="32"/>
          <w:szCs w:val="32"/>
          <w:lang w:val="en-US" w:eastAsia="zh-CN"/>
        </w:rPr>
        <w:t>14.84</w:t>
      </w:r>
      <w:r>
        <w:rPr>
          <w:rFonts w:hint="eastAsia" w:ascii="仿宋" w:hAnsi="仿宋" w:eastAsia="仿宋" w:cs="仿宋"/>
          <w:sz w:val="32"/>
          <w:szCs w:val="32"/>
        </w:rPr>
        <w:t>万元，主要用于</w:t>
      </w:r>
      <w:r>
        <w:rPr>
          <w:rFonts w:hint="eastAsia" w:ascii="仿宋" w:hAnsi="仿宋" w:eastAsia="仿宋" w:cs="仿宋"/>
          <w:sz w:val="32"/>
          <w:szCs w:val="32"/>
          <w:lang w:val="en-US" w:eastAsia="zh-CN"/>
        </w:rPr>
        <w:t>保障单位运行及购买货物支出</w:t>
      </w:r>
      <w:r>
        <w:rPr>
          <w:rFonts w:hint="eastAsia" w:ascii="仿宋" w:hAnsi="仿宋" w:eastAsia="仿宋" w:cs="仿宋"/>
          <w:sz w:val="32"/>
          <w:szCs w:val="32"/>
        </w:rPr>
        <w:t>。</w:t>
      </w:r>
    </w:p>
    <w:p>
      <w:pPr>
        <w:pStyle w:val="11"/>
        <w:shd w:val="clear" w:color="auto" w:fill="auto"/>
        <w:tabs>
          <w:tab w:val="left" w:pos="1673"/>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（二）</w:t>
      </w:r>
      <w:r>
        <w:rPr>
          <w:rFonts w:hint="eastAsia" w:ascii="仿宋" w:hAnsi="仿宋" w:eastAsia="仿宋" w:cs="仿宋"/>
          <w:sz w:val="32"/>
          <w:szCs w:val="32"/>
        </w:rPr>
        <w:tab/>
      </w:r>
      <w:r>
        <w:rPr>
          <w:rFonts w:hint="eastAsia" w:ascii="仿宋" w:hAnsi="仿宋" w:eastAsia="仿宋" w:cs="仿宋"/>
          <w:sz w:val="32"/>
          <w:szCs w:val="32"/>
        </w:rPr>
        <w:t>政府采购情况。</w:t>
      </w:r>
    </w:p>
    <w:p>
      <w:pPr>
        <w:pStyle w:val="13"/>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2019年政府采购预算总额</w:t>
      </w:r>
      <w:r>
        <w:rPr>
          <w:rFonts w:hint="eastAsia" w:ascii="仿宋" w:hAnsi="仿宋" w:eastAsia="仿宋" w:cs="仿宋"/>
          <w:sz w:val="32"/>
          <w:szCs w:val="32"/>
          <w:lang w:val="en-US" w:eastAsia="zh-CN"/>
        </w:rPr>
        <w:t>2.50</w:t>
      </w:r>
      <w:r>
        <w:rPr>
          <w:rFonts w:hint="eastAsia" w:ascii="仿宋" w:hAnsi="仿宋" w:eastAsia="仿宋" w:cs="仿宋"/>
          <w:sz w:val="32"/>
          <w:szCs w:val="32"/>
        </w:rPr>
        <w:t>万元。其中：政府采购货物预算</w:t>
      </w:r>
      <w:r>
        <w:rPr>
          <w:rFonts w:hint="eastAsia" w:ascii="仿宋" w:hAnsi="仿宋" w:eastAsia="仿宋" w:cs="仿宋"/>
          <w:sz w:val="32"/>
          <w:szCs w:val="32"/>
          <w:lang w:val="en-US" w:eastAsia="zh-CN"/>
        </w:rPr>
        <w:t>2.50</w:t>
      </w:r>
      <w:r>
        <w:rPr>
          <w:rFonts w:hint="eastAsia" w:ascii="仿宋" w:hAnsi="仿宋" w:eastAsia="仿宋" w:cs="仿宋"/>
          <w:sz w:val="32"/>
          <w:szCs w:val="32"/>
        </w:rPr>
        <w:t>万元，政府采购服务预算</w:t>
      </w:r>
      <w:r>
        <w:rPr>
          <w:rFonts w:hint="eastAsia" w:ascii="仿宋" w:hAnsi="仿宋" w:eastAsia="仿宋" w:cs="仿宋"/>
          <w:sz w:val="32"/>
          <w:szCs w:val="32"/>
          <w:lang w:val="en-US" w:eastAsia="zh-CN"/>
        </w:rPr>
        <w:t>0</w:t>
      </w:r>
      <w:r>
        <w:rPr>
          <w:rFonts w:hint="eastAsia" w:ascii="仿宋" w:hAnsi="仿宋" w:eastAsia="仿宋" w:cs="仿宋"/>
          <w:sz w:val="32"/>
          <w:szCs w:val="32"/>
        </w:rPr>
        <w:t>万元。</w:t>
      </w:r>
    </w:p>
    <w:p>
      <w:pPr>
        <w:pStyle w:val="11"/>
        <w:shd w:val="clear" w:color="auto" w:fill="auto"/>
        <w:tabs>
          <w:tab w:val="left" w:pos="1673"/>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（三）</w:t>
      </w:r>
      <w:r>
        <w:rPr>
          <w:rFonts w:hint="eastAsia" w:ascii="仿宋" w:hAnsi="仿宋" w:eastAsia="仿宋" w:cs="仿宋"/>
          <w:sz w:val="32"/>
          <w:szCs w:val="32"/>
        </w:rPr>
        <w:tab/>
      </w:r>
      <w:r>
        <w:rPr>
          <w:rFonts w:hint="eastAsia" w:ascii="仿宋" w:hAnsi="仿宋" w:eastAsia="仿宋" w:cs="仿宋"/>
          <w:sz w:val="32"/>
          <w:szCs w:val="32"/>
        </w:rPr>
        <w:t>国有资产占用使用情况。</w:t>
      </w:r>
    </w:p>
    <w:p>
      <w:pPr>
        <w:pStyle w:val="13"/>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pacing w:val="30"/>
          <w:kern w:val="2"/>
          <w:sz w:val="32"/>
          <w:szCs w:val="32"/>
          <w:lang w:val="en-US" w:eastAsia="zh-CN" w:bidi="ar-SA"/>
        </w:rPr>
        <w:t>石台县委统战部</w:t>
      </w:r>
      <w:r>
        <w:rPr>
          <w:rFonts w:hint="eastAsia" w:ascii="仿宋" w:hAnsi="仿宋" w:eastAsia="仿宋" w:cs="仿宋"/>
          <w:sz w:val="32"/>
          <w:szCs w:val="32"/>
        </w:rPr>
        <w:t>有公务用车</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辆</w:t>
      </w:r>
      <w:r>
        <w:rPr>
          <w:rFonts w:hint="eastAsia" w:ascii="仿宋" w:hAnsi="仿宋" w:eastAsia="仿宋" w:cs="仿宋"/>
          <w:sz w:val="32"/>
          <w:szCs w:val="32"/>
        </w:rPr>
        <w:t>，单位价值50万元以上的通用设备单位</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w:t>
      </w:r>
      <w:r>
        <w:rPr>
          <w:rFonts w:hint="eastAsia" w:ascii="仿宋" w:hAnsi="仿宋" w:eastAsia="仿宋" w:cs="仿宋"/>
          <w:sz w:val="32"/>
          <w:szCs w:val="32"/>
        </w:rPr>
        <w:t>价值100万元以上的专用设备</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w:t>
      </w:r>
      <w:r>
        <w:rPr>
          <w:rFonts w:hint="eastAsia" w:ascii="仿宋" w:hAnsi="仿宋" w:eastAsia="仿宋" w:cs="仿宋"/>
          <w:sz w:val="32"/>
          <w:szCs w:val="32"/>
        </w:rPr>
        <w:t>。</w:t>
      </w:r>
    </w:p>
    <w:p>
      <w:pPr>
        <w:pStyle w:val="13"/>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rPr>
        <w:t>2019年部门预算安排公务用车购置</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万元，购置公务用车</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辆</w:t>
      </w:r>
      <w:r>
        <w:rPr>
          <w:rFonts w:hint="eastAsia" w:ascii="仿宋" w:hAnsi="仿宋" w:eastAsia="仿宋" w:cs="仿宋"/>
          <w:sz w:val="32"/>
          <w:szCs w:val="32"/>
        </w:rPr>
        <w:t>，安排购置单位价值50万元以上的通用设备</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个，安排购置</w:t>
      </w:r>
      <w:r>
        <w:rPr>
          <w:rFonts w:hint="eastAsia" w:ascii="仿宋" w:hAnsi="仿宋" w:eastAsia="仿宋" w:cs="仿宋"/>
          <w:sz w:val="32"/>
          <w:szCs w:val="32"/>
        </w:rPr>
        <w:t>单位价值100万元以上专用设备</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w:t>
      </w:r>
      <w:r>
        <w:rPr>
          <w:rFonts w:hint="eastAsia" w:ascii="仿宋" w:hAnsi="仿宋" w:eastAsia="仿宋" w:cs="仿宋"/>
          <w:sz w:val="32"/>
          <w:szCs w:val="32"/>
        </w:rPr>
        <w:t>。</w:t>
      </w:r>
    </w:p>
    <w:p>
      <w:pPr>
        <w:pStyle w:val="17"/>
        <w:shd w:val="clear" w:color="auto" w:fill="auto"/>
        <w:spacing w:after="0" w:line="360" w:lineRule="auto"/>
        <w:ind w:firstLine="763" w:firstLineChars="200"/>
        <w:rPr>
          <w:rFonts w:ascii="仿宋" w:hAnsi="仿宋" w:eastAsia="仿宋" w:cs="仿宋"/>
          <w:b/>
          <w:bCs/>
        </w:rPr>
      </w:pPr>
      <w:r>
        <w:rPr>
          <w:rFonts w:hint="eastAsia" w:ascii="仿宋" w:hAnsi="仿宋" w:eastAsia="仿宋" w:cs="仿宋"/>
          <w:b/>
          <w:bCs/>
        </w:rPr>
        <w:t>第三部分</w:t>
      </w:r>
      <w:r>
        <w:rPr>
          <w:rFonts w:hint="eastAsia" w:ascii="仿宋" w:hAnsi="仿宋" w:eastAsia="仿宋" w:cs="仿宋"/>
          <w:b/>
          <w:bCs/>
          <w:lang w:val="en-US"/>
        </w:rPr>
        <w:t xml:space="preserve"> </w:t>
      </w:r>
      <w:r>
        <w:rPr>
          <w:rFonts w:hint="eastAsia" w:ascii="仿宋" w:hAnsi="仿宋" w:eastAsia="仿宋" w:cs="仿宋"/>
          <w:b/>
          <w:bCs/>
        </w:rPr>
        <w:t>名词解释</w:t>
      </w:r>
    </w:p>
    <w:p>
      <w:pPr>
        <w:pStyle w:val="13"/>
        <w:shd w:val="clear" w:color="auto" w:fill="auto"/>
        <w:tabs>
          <w:tab w:val="left" w:pos="1279"/>
        </w:tabs>
        <w:spacing w:before="0" w:after="0" w:line="360" w:lineRule="auto"/>
        <w:ind w:firstLine="763" w:firstLineChars="200"/>
        <w:jc w:val="both"/>
        <w:rPr>
          <w:rFonts w:ascii="仿宋" w:hAnsi="仿宋" w:eastAsia="仿宋" w:cs="仿宋"/>
          <w:sz w:val="32"/>
          <w:szCs w:val="32"/>
        </w:rPr>
      </w:pPr>
      <w:r>
        <w:rPr>
          <w:rStyle w:val="15"/>
          <w:rFonts w:hint="eastAsia" w:ascii="仿宋" w:hAnsi="仿宋" w:eastAsia="仿宋" w:cs="仿宋"/>
          <w:sz w:val="32"/>
          <w:szCs w:val="32"/>
        </w:rPr>
        <w:t>一、</w:t>
      </w:r>
      <w:r>
        <w:rPr>
          <w:rStyle w:val="15"/>
          <w:rFonts w:hint="eastAsia" w:ascii="仿宋" w:hAnsi="仿宋" w:eastAsia="仿宋" w:cs="仿宋"/>
          <w:sz w:val="32"/>
          <w:szCs w:val="32"/>
        </w:rPr>
        <w:tab/>
      </w:r>
      <w:r>
        <w:rPr>
          <w:rStyle w:val="15"/>
          <w:rFonts w:hint="eastAsia" w:ascii="仿宋" w:hAnsi="仿宋" w:eastAsia="仿宋" w:cs="仿宋"/>
          <w:sz w:val="32"/>
          <w:szCs w:val="32"/>
        </w:rPr>
        <w:t>财政拨款收入：</w:t>
      </w:r>
      <w:r>
        <w:rPr>
          <w:rFonts w:hint="eastAsia" w:ascii="仿宋" w:hAnsi="仿宋" w:eastAsia="仿宋" w:cs="仿宋"/>
          <w:sz w:val="32"/>
          <w:szCs w:val="32"/>
        </w:rPr>
        <w:t>指财政当年拨付的资金，主要包括一般公共预算拨款收入和政府性基金拨款收入。</w:t>
      </w:r>
    </w:p>
    <w:p>
      <w:pPr>
        <w:pStyle w:val="13"/>
        <w:shd w:val="clear" w:color="auto" w:fill="auto"/>
        <w:tabs>
          <w:tab w:val="left" w:pos="1279"/>
        </w:tabs>
        <w:spacing w:before="0" w:after="0" w:line="360" w:lineRule="auto"/>
        <w:ind w:firstLine="763" w:firstLineChars="200"/>
        <w:jc w:val="both"/>
        <w:rPr>
          <w:rFonts w:ascii="仿宋" w:hAnsi="仿宋" w:eastAsia="仿宋" w:cs="仿宋"/>
          <w:sz w:val="32"/>
          <w:szCs w:val="32"/>
        </w:rPr>
      </w:pPr>
      <w:r>
        <w:rPr>
          <w:rStyle w:val="15"/>
          <w:rFonts w:hint="eastAsia" w:ascii="仿宋" w:hAnsi="仿宋" w:eastAsia="仿宋" w:cs="仿宋"/>
          <w:sz w:val="32"/>
          <w:szCs w:val="32"/>
        </w:rPr>
        <w:t>二、</w:t>
      </w:r>
      <w:r>
        <w:rPr>
          <w:rStyle w:val="15"/>
          <w:rFonts w:hint="eastAsia" w:ascii="仿宋" w:hAnsi="仿宋" w:eastAsia="仿宋" w:cs="仿宋"/>
          <w:sz w:val="32"/>
          <w:szCs w:val="32"/>
        </w:rPr>
        <w:tab/>
      </w:r>
      <w:r>
        <w:rPr>
          <w:rStyle w:val="15"/>
          <w:rFonts w:hint="eastAsia" w:ascii="仿宋" w:hAnsi="仿宋" w:eastAsia="仿宋" w:cs="仿宋"/>
          <w:sz w:val="32"/>
          <w:szCs w:val="32"/>
        </w:rPr>
        <w:t>基本支出：</w:t>
      </w:r>
      <w:r>
        <w:rPr>
          <w:rFonts w:hint="eastAsia" w:ascii="仿宋" w:hAnsi="仿宋" w:eastAsia="仿宋" w:cs="仿宋"/>
          <w:sz w:val="32"/>
          <w:szCs w:val="32"/>
        </w:rPr>
        <w:t>指为保障机构正常运转、完成日常工作任务而发生的人员支出和公用支出。</w:t>
      </w:r>
    </w:p>
    <w:p>
      <w:pPr>
        <w:pStyle w:val="13"/>
        <w:shd w:val="clear" w:color="auto" w:fill="auto"/>
        <w:tabs>
          <w:tab w:val="left" w:pos="1279"/>
        </w:tabs>
        <w:spacing w:before="0" w:after="0" w:line="360" w:lineRule="auto"/>
        <w:ind w:firstLine="763" w:firstLineChars="200"/>
        <w:jc w:val="both"/>
        <w:rPr>
          <w:rFonts w:ascii="仿宋" w:hAnsi="仿宋" w:eastAsia="仿宋" w:cs="仿宋"/>
          <w:sz w:val="32"/>
          <w:szCs w:val="32"/>
        </w:rPr>
      </w:pPr>
      <w:r>
        <w:rPr>
          <w:rStyle w:val="15"/>
          <w:rFonts w:hint="eastAsia" w:ascii="仿宋" w:hAnsi="仿宋" w:eastAsia="仿宋" w:cs="仿宋"/>
          <w:sz w:val="32"/>
          <w:szCs w:val="32"/>
        </w:rPr>
        <w:t>三、</w:t>
      </w:r>
      <w:r>
        <w:rPr>
          <w:rStyle w:val="15"/>
          <w:rFonts w:hint="eastAsia" w:ascii="仿宋" w:hAnsi="仿宋" w:eastAsia="仿宋" w:cs="仿宋"/>
          <w:sz w:val="32"/>
          <w:szCs w:val="32"/>
        </w:rPr>
        <w:tab/>
      </w:r>
      <w:r>
        <w:rPr>
          <w:rStyle w:val="15"/>
          <w:rFonts w:hint="eastAsia" w:ascii="仿宋" w:hAnsi="仿宋" w:eastAsia="仿宋" w:cs="仿宋"/>
          <w:sz w:val="32"/>
          <w:szCs w:val="32"/>
        </w:rPr>
        <w:t>项目支出：</w:t>
      </w:r>
      <w:r>
        <w:rPr>
          <w:rFonts w:hint="eastAsia" w:ascii="仿宋" w:hAnsi="仿宋" w:eastAsia="仿宋" w:cs="仿宋"/>
          <w:sz w:val="32"/>
          <w:szCs w:val="32"/>
        </w:rPr>
        <w:t>指在基本支出之外为完成特定行政任务和事业 发展目标所发生的支出。</w:t>
      </w:r>
    </w:p>
    <w:p>
      <w:pPr>
        <w:pStyle w:val="13"/>
        <w:shd w:val="clear" w:color="auto" w:fill="auto"/>
        <w:tabs>
          <w:tab w:val="left" w:pos="1280"/>
        </w:tabs>
        <w:spacing w:before="0" w:after="0" w:line="360" w:lineRule="auto"/>
        <w:ind w:firstLine="763" w:firstLineChars="200"/>
        <w:jc w:val="both"/>
        <w:rPr>
          <w:rFonts w:hint="eastAsia" w:ascii="仿宋" w:hAnsi="仿宋" w:eastAsia="仿宋" w:cs="仿宋"/>
          <w:sz w:val="32"/>
          <w:szCs w:val="32"/>
        </w:rPr>
      </w:pPr>
      <w:r>
        <w:rPr>
          <w:rStyle w:val="15"/>
          <w:rFonts w:hint="eastAsia" w:ascii="仿宋" w:hAnsi="仿宋" w:eastAsia="仿宋" w:cs="仿宋"/>
          <w:sz w:val="32"/>
          <w:szCs w:val="32"/>
        </w:rPr>
        <w:t>四、</w:t>
      </w:r>
      <w:r>
        <w:rPr>
          <w:rStyle w:val="15"/>
          <w:rFonts w:hint="eastAsia" w:ascii="仿宋" w:hAnsi="仿宋" w:eastAsia="仿宋" w:cs="仿宋"/>
          <w:sz w:val="32"/>
          <w:szCs w:val="32"/>
        </w:rPr>
        <w:tab/>
      </w:r>
      <w:r>
        <w:rPr>
          <w:rStyle w:val="15"/>
          <w:rFonts w:hint="eastAsia" w:ascii="仿宋" w:hAnsi="仿宋" w:eastAsia="仿宋" w:cs="仿宋"/>
          <w:sz w:val="32"/>
          <w:szCs w:val="32"/>
        </w:rPr>
        <w:t>机关运行经费：</w:t>
      </w:r>
      <w:r>
        <w:rPr>
          <w:rFonts w:hint="eastAsia" w:ascii="仿宋" w:hAnsi="仿宋" w:eastAsia="仿宋" w:cs="仿宋"/>
          <w:sz w:val="32"/>
          <w:szCs w:val="32"/>
        </w:rPr>
        <w:t>指各部门的公用经费，包括办公及印刷费、 邮电费、差旅费、会议费、福利费、日常维修费、专用材料及一般设备购置费、办公用房水电费、办公用房取暖费、办公用房物业管理费、公务用车运行维护费以及其他费用。</w:t>
      </w:r>
    </w:p>
    <w:p>
      <w:pPr>
        <w:pStyle w:val="11"/>
        <w:shd w:val="clear" w:color="auto" w:fill="auto"/>
        <w:spacing w:after="0" w:line="538" w:lineRule="exact"/>
        <w:jc w:val="center"/>
        <w:rPr>
          <w:rFonts w:ascii="仿宋" w:hAnsi="仿宋" w:eastAsia="仿宋" w:cs="仿宋"/>
          <w:sz w:val="32"/>
          <w:szCs w:val="32"/>
        </w:rPr>
      </w:pPr>
      <w:r>
        <w:rPr>
          <w:rFonts w:hint="eastAsia" w:ascii="仿宋" w:hAnsi="仿宋" w:eastAsia="仿宋" w:cs="仿宋"/>
          <w:sz w:val="32"/>
          <w:szCs w:val="32"/>
        </w:rPr>
        <w:t>第四部分</w:t>
      </w:r>
      <w:r>
        <w:rPr>
          <w:rFonts w:hint="eastAsia" w:ascii="仿宋" w:hAnsi="仿宋" w:eastAsia="仿宋" w:cs="仿宋"/>
          <w:sz w:val="32"/>
          <w:szCs w:val="32"/>
          <w:lang w:val="en-US"/>
        </w:rPr>
        <w:t xml:space="preserve"> </w:t>
      </w:r>
      <w:r>
        <w:rPr>
          <w:rFonts w:hint="eastAsia" w:ascii="仿宋" w:hAnsi="仿宋" w:eastAsia="仿宋" w:cs="仿宋"/>
          <w:sz w:val="32"/>
          <w:szCs w:val="32"/>
        </w:rPr>
        <w:t>2019年部门预算表（附表）</w:t>
      </w:r>
    </w:p>
    <w:p>
      <w:pPr>
        <w:pStyle w:val="13"/>
        <w:numPr>
          <w:ilvl w:val="0"/>
          <w:numId w:val="4"/>
        </w:numPr>
        <w:shd w:val="clear" w:color="auto" w:fill="auto"/>
        <w:tabs>
          <w:tab w:val="left" w:pos="38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2019年部门财政拨款收支预算总表</w:t>
      </w:r>
    </w:p>
    <w:p>
      <w:pPr>
        <w:pStyle w:val="13"/>
        <w:numPr>
          <w:ilvl w:val="0"/>
          <w:numId w:val="4"/>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2019年部门一般公共预算支出预算表</w:t>
      </w:r>
    </w:p>
    <w:p>
      <w:pPr>
        <w:pStyle w:val="13"/>
        <w:numPr>
          <w:ilvl w:val="0"/>
          <w:numId w:val="4"/>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2019年部门一般公共预算基本支出预算表</w:t>
      </w:r>
    </w:p>
    <w:p>
      <w:pPr>
        <w:pStyle w:val="13"/>
        <w:numPr>
          <w:ilvl w:val="0"/>
          <w:numId w:val="4"/>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2019年部门政府性基金预算支出预算表</w:t>
      </w:r>
    </w:p>
    <w:p>
      <w:pPr>
        <w:pStyle w:val="13"/>
        <w:numPr>
          <w:ilvl w:val="0"/>
          <w:numId w:val="4"/>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2019年部门收支预算总表</w:t>
      </w:r>
    </w:p>
    <w:p>
      <w:pPr>
        <w:pStyle w:val="13"/>
        <w:numPr>
          <w:ilvl w:val="0"/>
          <w:numId w:val="4"/>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2019年部门收入预算总表</w:t>
      </w:r>
    </w:p>
    <w:p>
      <w:pPr>
        <w:pStyle w:val="13"/>
        <w:numPr>
          <w:ilvl w:val="0"/>
          <w:numId w:val="4"/>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2019年部门支出预算总表</w:t>
      </w:r>
    </w:p>
    <w:p>
      <w:pPr>
        <w:pStyle w:val="13"/>
        <w:numPr>
          <w:ilvl w:val="0"/>
          <w:numId w:val="4"/>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lang w:val="en-US"/>
        </w:rPr>
        <w:t>2019年部门</w:t>
      </w:r>
      <w:r>
        <w:rPr>
          <w:rFonts w:hint="eastAsia" w:ascii="仿宋" w:hAnsi="仿宋" w:eastAsia="仿宋" w:cs="仿宋"/>
          <w:sz w:val="32"/>
          <w:szCs w:val="32"/>
        </w:rPr>
        <w:t>国有资本经营预算支出预算表</w:t>
      </w:r>
    </w:p>
    <w:p>
      <w:pPr>
        <w:pStyle w:val="13"/>
        <w:numPr>
          <w:ilvl w:val="0"/>
          <w:numId w:val="4"/>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lang w:val="en-US"/>
        </w:rPr>
        <w:t>2019年部门政府采购预算表</w:t>
      </w:r>
    </w:p>
    <w:p>
      <w:pPr>
        <w:pStyle w:val="13"/>
        <w:shd w:val="clear" w:color="auto" w:fill="auto"/>
        <w:tabs>
          <w:tab w:val="left" w:pos="1280"/>
        </w:tabs>
        <w:spacing w:before="0" w:after="0" w:line="360" w:lineRule="auto"/>
        <w:jc w:val="both"/>
        <w:rPr>
          <w:rFonts w:hint="eastAsia" w:ascii="仿宋" w:hAnsi="仿宋" w:eastAsia="仿宋" w:cs="仿宋"/>
          <w:sz w:val="32"/>
          <w:szCs w:val="32"/>
        </w:rPr>
      </w:pPr>
      <w:r>
        <w:rPr>
          <w:rFonts w:hint="eastAsia" w:ascii="仿宋" w:hAnsi="仿宋" w:eastAsia="仿宋" w:cs="仿宋"/>
          <w:sz w:val="32"/>
          <w:szCs w:val="32"/>
          <w:lang w:val="en-US"/>
        </w:rPr>
        <w:t>10.2019年政府购买服务预算表</w:t>
      </w:r>
    </w:p>
    <w:sectPr>
      <w:headerReference r:id="rId5" w:type="default"/>
      <w:footerReference r:id="rId6" w:type="default"/>
      <w:footerReference r:id="rId7" w:type="even"/>
      <w:pgSz w:w="11900" w:h="16840"/>
      <w:pgMar w:top="1586" w:right="1237" w:bottom="1616" w:left="1198" w:header="0" w:footer="3"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PMingLiU">
    <w:panose1 w:val="02020500000000000000"/>
    <w:charset w:val="88"/>
    <w:family w:val="roman"/>
    <w:pitch w:val="default"/>
    <w:sig w:usb0="A00002FF" w:usb1="28CFFCFA" w:usb2="00000016" w:usb3="00000000" w:csb0="0010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r>
      <w:pict>
        <v:shape id="_x0000_s3073" o:spid="_x0000_s3073" o:spt="202" type="#_x0000_t202" style="position:absolute;left:0pt;margin-left:288.75pt;margin-top:780.6pt;height:6.25pt;width:7.45pt;mso-position-horizontal-relative:page;mso-position-vertical-relative:page;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21"/>
                  <w:shd w:val="clear" w:color="auto" w:fill="auto"/>
                  <w:spacing w:line="240" w:lineRule="auto"/>
                </w:pPr>
                <w:r>
                  <w:fldChar w:fldCharType="begin"/>
                </w:r>
                <w:r>
                  <w:instrText xml:space="preserve"> PAGE \* MERGEFORMAT </w:instrText>
                </w:r>
                <w:r>
                  <w:fldChar w:fldCharType="separate"/>
                </w:r>
                <w:r>
                  <w:rPr>
                    <w:rStyle w:val="23"/>
                    <w:rFonts w:eastAsia="PMingLiU"/>
                  </w:rPr>
                  <w:t>7</w:t>
                </w:r>
                <w:r>
                  <w:rPr>
                    <w:rStyle w:val="23"/>
                    <w:rFonts w:eastAsia="PMingLiU"/>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r>
      <w:pict>
        <v:shape id="_x0000_s3074" o:spid="_x0000_s3074" o:spt="202" type="#_x0000_t202" style="position:absolute;left:0pt;margin-left:288.75pt;margin-top:780.6pt;height:6.25pt;width:7.45pt;mso-position-horizontal-relative:page;mso-position-vertical-relative:page;mso-wrap-style:none;z-index:-251658240;mso-width-relative:page;mso-height-relative:page;" filled="f" stroked="f" coordsize="21600,21600">
          <v:path/>
          <v:fill on="f" focussize="0,0"/>
          <v:stroke on="f" joinstyle="miter"/>
          <v:imagedata o:title=""/>
          <o:lock v:ext="edit"/>
          <v:textbox inset="0mm,0mm,0mm,0mm" style="mso-fit-shape-to-text:t;">
            <w:txbxContent>
              <w:p>
                <w:pPr>
                  <w:pStyle w:val="21"/>
                  <w:shd w:val="clear" w:color="auto" w:fill="auto"/>
                  <w:spacing w:line="240" w:lineRule="auto"/>
                </w:pPr>
                <w:r>
                  <w:fldChar w:fldCharType="begin"/>
                </w:r>
                <w:r>
                  <w:instrText xml:space="preserve"> PAGE \* MERGEFORMAT </w:instrText>
                </w:r>
                <w:r>
                  <w:fldChar w:fldCharType="separate"/>
                </w:r>
                <w:r>
                  <w:rPr>
                    <w:rStyle w:val="23"/>
                    <w:rFonts w:eastAsia="PMingLiU"/>
                  </w:rPr>
                  <w:t>8</w:t>
                </w:r>
                <w:r>
                  <w:rPr>
                    <w:rStyle w:val="23"/>
                    <w:rFonts w:eastAsia="PMingLiU"/>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1E84A9"/>
    <w:multiLevelType w:val="singleLevel"/>
    <w:tmpl w:val="AB1E84A9"/>
    <w:lvl w:ilvl="0" w:tentative="0">
      <w:start w:val="1"/>
      <w:numFmt w:val="decimal"/>
      <w:suff w:val="nothing"/>
      <w:lvlText w:val="%1．"/>
      <w:lvlJc w:val="left"/>
      <w:pPr>
        <w:ind w:left="0" w:firstLine="400"/>
      </w:pPr>
      <w:rPr>
        <w:rFonts w:hint="default"/>
      </w:rPr>
    </w:lvl>
  </w:abstractNum>
  <w:abstractNum w:abstractNumId="1">
    <w:nsid w:val="CF092B84"/>
    <w:multiLevelType w:val="singleLevel"/>
    <w:tmpl w:val="CF092B84"/>
    <w:lvl w:ilvl="0" w:tentative="0">
      <w:start w:val="1"/>
      <w:numFmt w:val="decimal"/>
      <w:lvlText w:val="%1."/>
      <w:lvlJc w:val="left"/>
      <w:rPr>
        <w:rFonts w:ascii="PMingLiU" w:hAnsi="PMingLiU" w:eastAsia="PMingLiU" w:cs="PMingLiU"/>
        <w:b w:val="0"/>
        <w:bCs w:val="0"/>
        <w:i w:val="0"/>
        <w:iCs w:val="0"/>
        <w:smallCaps w:val="0"/>
        <w:strike w:val="0"/>
        <w:color w:val="000000"/>
        <w:spacing w:val="30"/>
        <w:w w:val="100"/>
        <w:position w:val="0"/>
        <w:sz w:val="30"/>
        <w:szCs w:val="30"/>
        <w:u w:val="none"/>
        <w:lang w:val="en-US" w:eastAsia="en-US" w:bidi="en-US"/>
      </w:rPr>
    </w:lvl>
  </w:abstractNum>
  <w:abstractNum w:abstractNumId="2">
    <w:nsid w:val="0053208E"/>
    <w:multiLevelType w:val="singleLevel"/>
    <w:tmpl w:val="0053208E"/>
    <w:lvl w:ilvl="0" w:tentative="0">
      <w:start w:val="1"/>
      <w:numFmt w:val="decimal"/>
      <w:lvlText w:val="%1."/>
      <w:lvlJc w:val="left"/>
      <w:rPr>
        <w:rFonts w:ascii="PMingLiU" w:hAnsi="PMingLiU" w:eastAsia="PMingLiU" w:cs="PMingLiU"/>
        <w:b w:val="0"/>
        <w:bCs w:val="0"/>
        <w:i w:val="0"/>
        <w:iCs w:val="0"/>
        <w:smallCaps w:val="0"/>
        <w:strike w:val="0"/>
        <w:color w:val="000000"/>
        <w:spacing w:val="30"/>
        <w:w w:val="100"/>
        <w:position w:val="0"/>
        <w:sz w:val="30"/>
        <w:szCs w:val="30"/>
        <w:u w:val="none"/>
        <w:lang w:val="en-US" w:eastAsia="en-US" w:bidi="en-US"/>
      </w:rPr>
    </w:lvl>
  </w:abstractNum>
  <w:abstractNum w:abstractNumId="3">
    <w:nsid w:val="32E7DDA3"/>
    <w:multiLevelType w:val="singleLevel"/>
    <w:tmpl w:val="32E7DDA3"/>
    <w:lvl w:ilvl="0" w:tentative="0">
      <w:start w:val="9"/>
      <w:numFmt w:val="chineseCounting"/>
      <w:suff w:val="nothing"/>
      <w:lvlText w:val="%1、"/>
      <w:lvlJc w:val="left"/>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bordersDoNotSurroundHeader w:val="1"/>
  <w:bordersDoNotSurroundFooter w:val="1"/>
  <w:documentProtection w:enforcement="0"/>
  <w:defaultTabStop w:val="420"/>
  <w:evenAndOddHeaders w:val="1"/>
  <w:drawingGridHorizontalSpacing w:val="181"/>
  <w:drawingGridVerticalSpacing w:val="181"/>
  <w:characterSpacingControl w:val="compressPunctuation"/>
  <w:hdrShapeDefaults>
    <o:shapelayout v:ext="edit">
      <o:idmap v:ext="edit" data="3"/>
    </o:shapelayout>
  </w:hdrShapeDefaults>
  <w:footnotePr>
    <w:footnote w:id="0"/>
    <w:footnote w:id="1"/>
  </w:footnotePr>
  <w:endnotePr>
    <w:endnote w:id="0"/>
    <w:endnote w:id="1"/>
  </w:endnotePr>
  <w:compat>
    <w:doNotExpandShiftReturn/>
    <w:useFELayout/>
    <w:compatSetting w:name="compatibilityMode" w:uri="http://schemas.microsoft.com/office/word" w:val="12"/>
  </w:compat>
  <w:rsids>
    <w:rsidRoot w:val="0033577B"/>
    <w:rsid w:val="00265585"/>
    <w:rsid w:val="002F2597"/>
    <w:rsid w:val="0033577B"/>
    <w:rsid w:val="004F768F"/>
    <w:rsid w:val="00567E94"/>
    <w:rsid w:val="00641A63"/>
    <w:rsid w:val="0067705F"/>
    <w:rsid w:val="006B33A9"/>
    <w:rsid w:val="00C25BEF"/>
    <w:rsid w:val="00D6440E"/>
    <w:rsid w:val="00DA621A"/>
    <w:rsid w:val="00FB3496"/>
    <w:rsid w:val="02431E11"/>
    <w:rsid w:val="043E2F4A"/>
    <w:rsid w:val="04725E4C"/>
    <w:rsid w:val="074910A2"/>
    <w:rsid w:val="0785427E"/>
    <w:rsid w:val="0D1A45DD"/>
    <w:rsid w:val="0D8574D2"/>
    <w:rsid w:val="13E32373"/>
    <w:rsid w:val="14F04E9F"/>
    <w:rsid w:val="1C8D24DC"/>
    <w:rsid w:val="1D4A2712"/>
    <w:rsid w:val="1DDE2AFD"/>
    <w:rsid w:val="1F2D795C"/>
    <w:rsid w:val="21071CD9"/>
    <w:rsid w:val="21A27164"/>
    <w:rsid w:val="24187DF0"/>
    <w:rsid w:val="24E877DF"/>
    <w:rsid w:val="250E3D3B"/>
    <w:rsid w:val="265042E5"/>
    <w:rsid w:val="276B45D1"/>
    <w:rsid w:val="28265DC8"/>
    <w:rsid w:val="283233E6"/>
    <w:rsid w:val="299D31EA"/>
    <w:rsid w:val="2C7C38A6"/>
    <w:rsid w:val="2EDA3662"/>
    <w:rsid w:val="2F142897"/>
    <w:rsid w:val="2F3D0F23"/>
    <w:rsid w:val="2FC8303B"/>
    <w:rsid w:val="32F90C32"/>
    <w:rsid w:val="332C6584"/>
    <w:rsid w:val="34E45216"/>
    <w:rsid w:val="36F23E90"/>
    <w:rsid w:val="377940C1"/>
    <w:rsid w:val="3C597A01"/>
    <w:rsid w:val="3D7A4687"/>
    <w:rsid w:val="3D81035B"/>
    <w:rsid w:val="3EA87366"/>
    <w:rsid w:val="405B5988"/>
    <w:rsid w:val="430000D7"/>
    <w:rsid w:val="460354CB"/>
    <w:rsid w:val="472A57F2"/>
    <w:rsid w:val="48105303"/>
    <w:rsid w:val="48820020"/>
    <w:rsid w:val="4A972C95"/>
    <w:rsid w:val="4AA81C1E"/>
    <w:rsid w:val="4AC75B2F"/>
    <w:rsid w:val="4B894EB0"/>
    <w:rsid w:val="4E24045A"/>
    <w:rsid w:val="4E935B51"/>
    <w:rsid w:val="50E907FF"/>
    <w:rsid w:val="5A3041C0"/>
    <w:rsid w:val="5AA1690C"/>
    <w:rsid w:val="5AEC5011"/>
    <w:rsid w:val="5BCE528C"/>
    <w:rsid w:val="5C1C4B13"/>
    <w:rsid w:val="62A45082"/>
    <w:rsid w:val="6368771C"/>
    <w:rsid w:val="673D6FD7"/>
    <w:rsid w:val="6A6261E0"/>
    <w:rsid w:val="6C890CDF"/>
    <w:rsid w:val="6EC55030"/>
    <w:rsid w:val="6FA1255B"/>
    <w:rsid w:val="781E11F5"/>
    <w:rsid w:val="7AB86BD0"/>
    <w:rsid w:val="7D8D0811"/>
    <w:rsid w:val="7F583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Times New Roman" w:cs="Times New Roman"/>
      <w:color w:val="000000"/>
      <w:sz w:val="24"/>
      <w:szCs w:val="24"/>
      <w:lang w:val="zh-CN" w:eastAsia="zh-CN" w:bidi="zh-CN"/>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customStyle="1" w:styleId="4">
    <w:name w:val="Body text|3_"/>
    <w:basedOn w:val="3"/>
    <w:link w:val="5"/>
    <w:qFormat/>
    <w:uiPriority w:val="0"/>
    <w:rPr>
      <w:rFonts w:ascii="PMingLiU" w:hAnsi="PMingLiU" w:eastAsia="PMingLiU" w:cs="PMingLiU"/>
      <w:sz w:val="52"/>
      <w:szCs w:val="52"/>
      <w:u w:val="none"/>
    </w:rPr>
  </w:style>
  <w:style w:type="paragraph" w:customStyle="1" w:styleId="5">
    <w:name w:val="Body text|3"/>
    <w:basedOn w:val="1"/>
    <w:link w:val="4"/>
    <w:qFormat/>
    <w:uiPriority w:val="0"/>
    <w:pPr>
      <w:shd w:val="clear" w:color="auto" w:fill="FFFFFF"/>
      <w:spacing w:after="5400" w:line="1133" w:lineRule="exact"/>
      <w:jc w:val="center"/>
    </w:pPr>
    <w:rPr>
      <w:rFonts w:ascii="PMingLiU" w:hAnsi="PMingLiU" w:eastAsia="PMingLiU" w:cs="PMingLiU"/>
      <w:sz w:val="52"/>
      <w:szCs w:val="52"/>
    </w:rPr>
  </w:style>
  <w:style w:type="character" w:customStyle="1" w:styleId="6">
    <w:name w:val="Body text|3 + Times New Roman"/>
    <w:basedOn w:val="4"/>
    <w:semiHidden/>
    <w:unhideWhenUsed/>
    <w:qFormat/>
    <w:uiPriority w:val="0"/>
    <w:rPr>
      <w:rFonts w:ascii="Times New Roman" w:hAnsi="Times New Roman" w:eastAsia="Times New Roman" w:cs="Times New Roman"/>
      <w:b/>
      <w:bCs/>
      <w:color w:val="000000"/>
      <w:spacing w:val="0"/>
      <w:w w:val="100"/>
      <w:position w:val="0"/>
      <w:sz w:val="54"/>
      <w:szCs w:val="54"/>
      <w:u w:val="none"/>
      <w:lang w:val="zh-CN" w:eastAsia="zh-CN" w:bidi="zh-CN"/>
    </w:rPr>
  </w:style>
  <w:style w:type="character" w:customStyle="1" w:styleId="7">
    <w:name w:val="Body text|4_"/>
    <w:basedOn w:val="3"/>
    <w:link w:val="8"/>
    <w:qFormat/>
    <w:uiPriority w:val="0"/>
    <w:rPr>
      <w:rFonts w:ascii="PMingLiU" w:hAnsi="PMingLiU" w:eastAsia="PMingLiU" w:cs="PMingLiU"/>
      <w:sz w:val="36"/>
      <w:szCs w:val="36"/>
      <w:u w:val="none"/>
    </w:rPr>
  </w:style>
  <w:style w:type="paragraph" w:customStyle="1" w:styleId="8">
    <w:name w:val="Body text|4"/>
    <w:basedOn w:val="1"/>
    <w:link w:val="7"/>
    <w:qFormat/>
    <w:uiPriority w:val="0"/>
    <w:pPr>
      <w:shd w:val="clear" w:color="auto" w:fill="FFFFFF"/>
      <w:spacing w:before="5400" w:line="360" w:lineRule="exact"/>
    </w:pPr>
    <w:rPr>
      <w:rFonts w:ascii="PMingLiU" w:hAnsi="PMingLiU" w:eastAsia="PMingLiU" w:cs="PMingLiU"/>
      <w:sz w:val="36"/>
      <w:szCs w:val="36"/>
    </w:rPr>
  </w:style>
  <w:style w:type="character" w:customStyle="1" w:styleId="9">
    <w:name w:val="Body text|4 + Spacing 4 pt"/>
    <w:basedOn w:val="7"/>
    <w:semiHidden/>
    <w:unhideWhenUsed/>
    <w:qFormat/>
    <w:uiPriority w:val="0"/>
    <w:rPr>
      <w:rFonts w:ascii="PMingLiU" w:hAnsi="PMingLiU" w:eastAsia="PMingLiU" w:cs="PMingLiU"/>
      <w:color w:val="000000"/>
      <w:spacing w:val="80"/>
      <w:w w:val="100"/>
      <w:position w:val="0"/>
      <w:sz w:val="36"/>
      <w:szCs w:val="36"/>
      <w:u w:val="none"/>
      <w:lang w:val="zh-CN" w:eastAsia="zh-CN" w:bidi="zh-CN"/>
    </w:rPr>
  </w:style>
  <w:style w:type="character" w:customStyle="1" w:styleId="10">
    <w:name w:val="Body text|5_"/>
    <w:basedOn w:val="3"/>
    <w:link w:val="11"/>
    <w:qFormat/>
    <w:uiPriority w:val="0"/>
    <w:rPr>
      <w:rFonts w:ascii="PMingLiU" w:hAnsi="PMingLiU" w:eastAsia="PMingLiU" w:cs="PMingLiU"/>
      <w:b/>
      <w:bCs/>
      <w:spacing w:val="30"/>
      <w:sz w:val="30"/>
      <w:szCs w:val="30"/>
      <w:u w:val="none"/>
    </w:rPr>
  </w:style>
  <w:style w:type="paragraph" w:customStyle="1" w:styleId="11">
    <w:name w:val="Body text|5"/>
    <w:basedOn w:val="1"/>
    <w:link w:val="10"/>
    <w:qFormat/>
    <w:uiPriority w:val="0"/>
    <w:pPr>
      <w:shd w:val="clear" w:color="auto" w:fill="FFFFFF"/>
      <w:spacing w:after="220" w:line="300" w:lineRule="exact"/>
    </w:pPr>
    <w:rPr>
      <w:rFonts w:ascii="PMingLiU" w:hAnsi="PMingLiU" w:eastAsia="PMingLiU" w:cs="PMingLiU"/>
      <w:b/>
      <w:bCs/>
      <w:spacing w:val="30"/>
      <w:sz w:val="30"/>
      <w:szCs w:val="30"/>
    </w:rPr>
  </w:style>
  <w:style w:type="character" w:customStyle="1" w:styleId="12">
    <w:name w:val="Body text|2_"/>
    <w:basedOn w:val="3"/>
    <w:link w:val="13"/>
    <w:qFormat/>
    <w:uiPriority w:val="0"/>
    <w:rPr>
      <w:rFonts w:ascii="PMingLiU" w:hAnsi="PMingLiU" w:eastAsia="PMingLiU" w:cs="PMingLiU"/>
      <w:spacing w:val="30"/>
      <w:sz w:val="30"/>
      <w:szCs w:val="30"/>
      <w:u w:val="none"/>
    </w:rPr>
  </w:style>
  <w:style w:type="paragraph" w:customStyle="1" w:styleId="13">
    <w:name w:val="Body text|2"/>
    <w:basedOn w:val="1"/>
    <w:link w:val="12"/>
    <w:qFormat/>
    <w:uiPriority w:val="0"/>
    <w:pPr>
      <w:shd w:val="clear" w:color="auto" w:fill="FFFFFF"/>
      <w:spacing w:before="220" w:after="220" w:line="300" w:lineRule="exact"/>
    </w:pPr>
    <w:rPr>
      <w:rFonts w:ascii="PMingLiU" w:hAnsi="PMingLiU" w:eastAsia="PMingLiU" w:cs="PMingLiU"/>
      <w:spacing w:val="30"/>
      <w:sz w:val="30"/>
      <w:szCs w:val="30"/>
    </w:rPr>
  </w:style>
  <w:style w:type="character" w:customStyle="1" w:styleId="14">
    <w:name w:val="Body text|2 + Times New Roman"/>
    <w:basedOn w:val="12"/>
    <w:semiHidden/>
    <w:unhideWhenUsed/>
    <w:qFormat/>
    <w:uiPriority w:val="0"/>
    <w:rPr>
      <w:rFonts w:ascii="Times New Roman" w:hAnsi="Times New Roman" w:eastAsia="Times New Roman" w:cs="Times New Roman"/>
      <w:color w:val="000000"/>
      <w:spacing w:val="0"/>
      <w:w w:val="100"/>
      <w:position w:val="0"/>
      <w:sz w:val="34"/>
      <w:szCs w:val="34"/>
      <w:u w:val="none"/>
      <w:lang w:val="en-US" w:eastAsia="en-US" w:bidi="en-US"/>
    </w:rPr>
  </w:style>
  <w:style w:type="character" w:customStyle="1" w:styleId="15">
    <w:name w:val="Body text|2 + Bold"/>
    <w:basedOn w:val="12"/>
    <w:semiHidden/>
    <w:unhideWhenUsed/>
    <w:qFormat/>
    <w:uiPriority w:val="0"/>
    <w:rPr>
      <w:rFonts w:ascii="PMingLiU" w:hAnsi="PMingLiU" w:eastAsia="PMingLiU" w:cs="PMingLiU"/>
      <w:b/>
      <w:bCs/>
      <w:color w:val="000000"/>
      <w:spacing w:val="30"/>
      <w:w w:val="100"/>
      <w:position w:val="0"/>
      <w:sz w:val="30"/>
      <w:szCs w:val="30"/>
      <w:u w:val="none"/>
      <w:lang w:val="zh-CN" w:eastAsia="zh-CN" w:bidi="zh-CN"/>
    </w:rPr>
  </w:style>
  <w:style w:type="character" w:customStyle="1" w:styleId="16">
    <w:name w:val="Body text|6_"/>
    <w:basedOn w:val="3"/>
    <w:link w:val="17"/>
    <w:qFormat/>
    <w:uiPriority w:val="0"/>
    <w:rPr>
      <w:rFonts w:ascii="PMingLiU" w:hAnsi="PMingLiU" w:eastAsia="PMingLiU" w:cs="PMingLiU"/>
      <w:spacing w:val="30"/>
      <w:sz w:val="32"/>
      <w:szCs w:val="32"/>
      <w:u w:val="none"/>
    </w:rPr>
  </w:style>
  <w:style w:type="paragraph" w:customStyle="1" w:styleId="17">
    <w:name w:val="Body text|6"/>
    <w:basedOn w:val="1"/>
    <w:link w:val="16"/>
    <w:qFormat/>
    <w:uiPriority w:val="0"/>
    <w:pPr>
      <w:shd w:val="clear" w:color="auto" w:fill="FFFFFF"/>
      <w:spacing w:after="320" w:line="320" w:lineRule="exact"/>
      <w:jc w:val="center"/>
    </w:pPr>
    <w:rPr>
      <w:rFonts w:ascii="PMingLiU" w:hAnsi="PMingLiU" w:eastAsia="PMingLiU" w:cs="PMingLiU"/>
      <w:spacing w:val="30"/>
      <w:sz w:val="32"/>
      <w:szCs w:val="32"/>
    </w:rPr>
  </w:style>
  <w:style w:type="character" w:customStyle="1" w:styleId="18">
    <w:name w:val="Body text|2 + 12 pt"/>
    <w:basedOn w:val="12"/>
    <w:semiHidden/>
    <w:unhideWhenUsed/>
    <w:qFormat/>
    <w:uiPriority w:val="0"/>
    <w:rPr>
      <w:rFonts w:ascii="PMingLiU" w:hAnsi="PMingLiU" w:eastAsia="PMingLiU" w:cs="PMingLiU"/>
      <w:color w:val="000000"/>
      <w:spacing w:val="20"/>
      <w:w w:val="100"/>
      <w:position w:val="0"/>
      <w:sz w:val="24"/>
      <w:szCs w:val="24"/>
      <w:u w:val="none"/>
      <w:lang w:val="zh-CN" w:eastAsia="zh-CN" w:bidi="zh-CN"/>
    </w:rPr>
  </w:style>
  <w:style w:type="character" w:customStyle="1" w:styleId="19">
    <w:name w:val="Body text|6 + Times New Roman"/>
    <w:basedOn w:val="16"/>
    <w:semiHidden/>
    <w:unhideWhenUsed/>
    <w:qFormat/>
    <w:uiPriority w:val="0"/>
    <w:rPr>
      <w:rFonts w:ascii="Times New Roman" w:hAnsi="Times New Roman" w:eastAsia="Times New Roman" w:cs="Times New Roman"/>
      <w:color w:val="000000"/>
      <w:spacing w:val="0"/>
      <w:w w:val="100"/>
      <w:position w:val="0"/>
      <w:sz w:val="34"/>
      <w:szCs w:val="34"/>
      <w:u w:val="none"/>
      <w:lang w:val="zh-CN" w:eastAsia="zh-CN" w:bidi="zh-CN"/>
    </w:rPr>
  </w:style>
  <w:style w:type="character" w:customStyle="1" w:styleId="20">
    <w:name w:val="Header or footer|1_"/>
    <w:basedOn w:val="3"/>
    <w:link w:val="21"/>
    <w:qFormat/>
    <w:uiPriority w:val="0"/>
    <w:rPr>
      <w:rFonts w:ascii="PMingLiU" w:hAnsi="PMingLiU" w:eastAsia="PMingLiU" w:cs="PMingLiU"/>
      <w:spacing w:val="20"/>
      <w:sz w:val="19"/>
      <w:szCs w:val="19"/>
      <w:u w:val="none"/>
    </w:rPr>
  </w:style>
  <w:style w:type="paragraph" w:customStyle="1" w:styleId="21">
    <w:name w:val="Header or footer|11"/>
    <w:basedOn w:val="1"/>
    <w:link w:val="20"/>
    <w:qFormat/>
    <w:uiPriority w:val="0"/>
    <w:pPr>
      <w:shd w:val="clear" w:color="auto" w:fill="FFFFFF"/>
      <w:spacing w:line="190" w:lineRule="exact"/>
    </w:pPr>
    <w:rPr>
      <w:rFonts w:ascii="PMingLiU" w:hAnsi="PMingLiU" w:eastAsia="PMingLiU" w:cs="PMingLiU"/>
      <w:spacing w:val="20"/>
      <w:sz w:val="19"/>
      <w:szCs w:val="19"/>
    </w:rPr>
  </w:style>
  <w:style w:type="character" w:customStyle="1" w:styleId="22">
    <w:name w:val="Header or footer|1"/>
    <w:basedOn w:val="20"/>
    <w:semiHidden/>
    <w:unhideWhenUsed/>
    <w:qFormat/>
    <w:uiPriority w:val="0"/>
    <w:rPr>
      <w:rFonts w:ascii="PMingLiU" w:hAnsi="PMingLiU" w:eastAsia="PMingLiU" w:cs="PMingLiU"/>
      <w:color w:val="000000"/>
      <w:spacing w:val="20"/>
      <w:w w:val="100"/>
      <w:position w:val="0"/>
      <w:sz w:val="19"/>
      <w:szCs w:val="19"/>
      <w:u w:val="none"/>
      <w:lang w:val="zh-CN" w:eastAsia="zh-CN" w:bidi="zh-CN"/>
    </w:rPr>
  </w:style>
  <w:style w:type="character" w:customStyle="1" w:styleId="23">
    <w:name w:val="Header or footer|1 + Times New Roman"/>
    <w:basedOn w:val="20"/>
    <w:semiHidden/>
    <w:unhideWhenUsed/>
    <w:qFormat/>
    <w:uiPriority w:val="0"/>
    <w:rPr>
      <w:rFonts w:ascii="Times New Roman" w:hAnsi="Times New Roman" w:eastAsia="Times New Roman" w:cs="Times New Roman"/>
      <w:color w:val="000000"/>
      <w:spacing w:val="0"/>
      <w:w w:val="100"/>
      <w:position w:val="0"/>
      <w:sz w:val="18"/>
      <w:szCs w:val="18"/>
      <w:u w:val="none"/>
      <w:lang w:val="zh-CN" w:eastAsia="zh-CN" w:bidi="zh-CN"/>
    </w:rPr>
  </w:style>
  <w:style w:type="character" w:customStyle="1" w:styleId="24">
    <w:name w:val="Heading #1|1_"/>
    <w:basedOn w:val="3"/>
    <w:link w:val="25"/>
    <w:qFormat/>
    <w:uiPriority w:val="0"/>
    <w:rPr>
      <w:rFonts w:ascii="PMingLiU" w:hAnsi="PMingLiU" w:eastAsia="PMingLiU" w:cs="PMingLiU"/>
      <w:sz w:val="36"/>
      <w:szCs w:val="36"/>
      <w:u w:val="none"/>
    </w:rPr>
  </w:style>
  <w:style w:type="paragraph" w:customStyle="1" w:styleId="25">
    <w:name w:val="Heading #1|1"/>
    <w:basedOn w:val="1"/>
    <w:link w:val="24"/>
    <w:qFormat/>
    <w:uiPriority w:val="0"/>
    <w:pPr>
      <w:shd w:val="clear" w:color="auto" w:fill="FFFFFF"/>
      <w:spacing w:before="780" w:line="360" w:lineRule="exact"/>
      <w:outlineLvl w:val="0"/>
    </w:pPr>
    <w:rPr>
      <w:rFonts w:ascii="PMingLiU" w:hAnsi="PMingLiU" w:eastAsia="PMingLiU" w:cs="PMingLiU"/>
      <w:sz w:val="36"/>
      <w:szCs w:val="36"/>
    </w:rPr>
  </w:style>
  <w:style w:type="character" w:customStyle="1" w:styleId="26">
    <w:name w:val="Table caption|1_"/>
    <w:basedOn w:val="3"/>
    <w:link w:val="27"/>
    <w:qFormat/>
    <w:uiPriority w:val="0"/>
    <w:rPr>
      <w:rFonts w:ascii="PMingLiU" w:hAnsi="PMingLiU" w:eastAsia="PMingLiU" w:cs="PMingLiU"/>
      <w:sz w:val="20"/>
      <w:szCs w:val="20"/>
      <w:u w:val="none"/>
    </w:rPr>
  </w:style>
  <w:style w:type="paragraph" w:customStyle="1" w:styleId="27">
    <w:name w:val="Table caption|1"/>
    <w:basedOn w:val="1"/>
    <w:link w:val="26"/>
    <w:qFormat/>
    <w:uiPriority w:val="0"/>
    <w:pPr>
      <w:shd w:val="clear" w:color="auto" w:fill="FFFFFF"/>
      <w:spacing w:line="200" w:lineRule="exact"/>
    </w:pPr>
    <w:rPr>
      <w:rFonts w:ascii="PMingLiU" w:hAnsi="PMingLiU" w:eastAsia="PMingLiU" w:cs="PMingLiU"/>
      <w:sz w:val="20"/>
      <w:szCs w:val="20"/>
    </w:rPr>
  </w:style>
  <w:style w:type="character" w:customStyle="1" w:styleId="28">
    <w:name w:val="Table caption|1 + Spacing 2 pt"/>
    <w:basedOn w:val="26"/>
    <w:semiHidden/>
    <w:unhideWhenUsed/>
    <w:qFormat/>
    <w:uiPriority w:val="0"/>
    <w:rPr>
      <w:rFonts w:ascii="PMingLiU" w:hAnsi="PMingLiU" w:eastAsia="PMingLiU" w:cs="PMingLiU"/>
      <w:color w:val="000000"/>
      <w:spacing w:val="50"/>
      <w:w w:val="100"/>
      <w:position w:val="0"/>
      <w:sz w:val="20"/>
      <w:szCs w:val="20"/>
      <w:u w:val="none"/>
      <w:lang w:val="zh-CN" w:eastAsia="zh-CN" w:bidi="zh-CN"/>
    </w:rPr>
  </w:style>
  <w:style w:type="character" w:customStyle="1" w:styleId="29">
    <w:name w:val="Body text|2 + 10 pt"/>
    <w:basedOn w:val="12"/>
    <w:semiHidden/>
    <w:unhideWhenUsed/>
    <w:qFormat/>
    <w:uiPriority w:val="0"/>
    <w:rPr>
      <w:rFonts w:ascii="PMingLiU" w:hAnsi="PMingLiU" w:eastAsia="PMingLiU" w:cs="PMingLiU"/>
      <w:color w:val="000000"/>
      <w:spacing w:val="50"/>
      <w:w w:val="100"/>
      <w:position w:val="0"/>
      <w:sz w:val="20"/>
      <w:szCs w:val="20"/>
      <w:u w:val="none"/>
      <w:lang w:val="zh-CN" w:eastAsia="zh-CN" w:bidi="zh-CN"/>
    </w:rPr>
  </w:style>
  <w:style w:type="character" w:customStyle="1" w:styleId="30">
    <w:name w:val="Body text|2 + 10 pt1"/>
    <w:basedOn w:val="12"/>
    <w:semiHidden/>
    <w:unhideWhenUsed/>
    <w:qFormat/>
    <w:uiPriority w:val="0"/>
    <w:rPr>
      <w:rFonts w:ascii="PMingLiU" w:hAnsi="PMingLiU" w:eastAsia="PMingLiU" w:cs="PMingLiU"/>
      <w:color w:val="000000"/>
      <w:spacing w:val="0"/>
      <w:w w:val="100"/>
      <w:position w:val="0"/>
      <w:sz w:val="20"/>
      <w:szCs w:val="20"/>
      <w:u w:val="none"/>
      <w:lang w:val="zh-CN" w:eastAsia="zh-CN" w:bidi="zh-CN"/>
    </w:rPr>
  </w:style>
  <w:style w:type="character" w:customStyle="1" w:styleId="31">
    <w:name w:val="Body text|2 + 18 pt"/>
    <w:basedOn w:val="12"/>
    <w:semiHidden/>
    <w:unhideWhenUsed/>
    <w:qFormat/>
    <w:uiPriority w:val="0"/>
    <w:rPr>
      <w:rFonts w:ascii="PMingLiU" w:hAnsi="PMingLiU" w:eastAsia="PMingLiU" w:cs="PMingLiU"/>
      <w:color w:val="000000"/>
      <w:spacing w:val="90"/>
      <w:w w:val="60"/>
      <w:position w:val="0"/>
      <w:sz w:val="36"/>
      <w:szCs w:val="36"/>
      <w:u w:val="none"/>
      <w:lang w:val="zh-CN" w:eastAsia="zh-CN" w:bidi="zh-CN"/>
    </w:rPr>
  </w:style>
  <w:style w:type="character" w:customStyle="1" w:styleId="32">
    <w:name w:val="Body text|2 + 21 pt"/>
    <w:basedOn w:val="12"/>
    <w:semiHidden/>
    <w:unhideWhenUsed/>
    <w:qFormat/>
    <w:uiPriority w:val="0"/>
    <w:rPr>
      <w:rFonts w:ascii="PMingLiU" w:hAnsi="PMingLiU" w:eastAsia="PMingLiU" w:cs="PMingLiU"/>
      <w:color w:val="000000"/>
      <w:spacing w:val="70"/>
      <w:w w:val="90"/>
      <w:position w:val="0"/>
      <w:sz w:val="42"/>
      <w:szCs w:val="42"/>
      <w:u w:val="none"/>
      <w:lang w:val="zh-CN" w:eastAsia="zh-CN" w:bidi="zh-CN"/>
    </w:rPr>
  </w:style>
  <w:style w:type="character" w:customStyle="1" w:styleId="33">
    <w:name w:val="Body text|2 + Times New Roman1"/>
    <w:basedOn w:val="12"/>
    <w:semiHidden/>
    <w:unhideWhenUsed/>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34">
    <w:name w:val="Table caption|1 Exact"/>
    <w:basedOn w:val="3"/>
    <w:semiHidden/>
    <w:unhideWhenUsed/>
    <w:qFormat/>
    <w:uiPriority w:val="0"/>
    <w:rPr>
      <w:rFonts w:ascii="PMingLiU" w:hAnsi="PMingLiU" w:eastAsia="PMingLiU" w:cs="PMingLiU"/>
      <w:sz w:val="20"/>
      <w:szCs w:val="20"/>
      <w:u w:val="none"/>
    </w:rPr>
  </w:style>
  <w:style w:type="character" w:customStyle="1" w:styleId="35">
    <w:name w:val="Body text|7_"/>
    <w:basedOn w:val="3"/>
    <w:link w:val="36"/>
    <w:qFormat/>
    <w:uiPriority w:val="0"/>
    <w:rPr>
      <w:rFonts w:ascii="PMingLiU" w:hAnsi="PMingLiU" w:eastAsia="PMingLiU" w:cs="PMingLiU"/>
      <w:sz w:val="20"/>
      <w:szCs w:val="20"/>
      <w:u w:val="none"/>
    </w:rPr>
  </w:style>
  <w:style w:type="paragraph" w:customStyle="1" w:styleId="36">
    <w:name w:val="Body text|7"/>
    <w:basedOn w:val="1"/>
    <w:link w:val="35"/>
    <w:qFormat/>
    <w:uiPriority w:val="0"/>
    <w:pPr>
      <w:shd w:val="clear" w:color="auto" w:fill="FFFFFF"/>
      <w:spacing w:after="320" w:line="200" w:lineRule="exact"/>
      <w:jc w:val="right"/>
    </w:pPr>
    <w:rPr>
      <w:rFonts w:ascii="PMingLiU" w:hAnsi="PMingLiU" w:eastAsia="PMingLiU" w:cs="PMingLiU"/>
      <w:sz w:val="20"/>
      <w:szCs w:val="20"/>
    </w:rPr>
  </w:style>
  <w:style w:type="character" w:customStyle="1" w:styleId="37">
    <w:name w:val="Header or footer|1 + Times New Roman1"/>
    <w:basedOn w:val="20"/>
    <w:semiHidden/>
    <w:unhideWhenUsed/>
    <w:qFormat/>
    <w:uiPriority w:val="0"/>
    <w:rPr>
      <w:rFonts w:ascii="Times New Roman" w:hAnsi="Times New Roman" w:eastAsia="Times New Roman" w:cs="Times New Roman"/>
      <w:color w:val="000000"/>
      <w:spacing w:val="0"/>
      <w:w w:val="100"/>
      <w:position w:val="0"/>
      <w:sz w:val="11"/>
      <w:szCs w:val="11"/>
      <w:u w:val="none"/>
      <w:lang w:val="en-US" w:eastAsia="en-US" w:bidi="en-US"/>
    </w:rPr>
  </w:style>
  <w:style w:type="character" w:customStyle="1" w:styleId="38">
    <w:name w:val="Header or footer|1 + 10 pt"/>
    <w:basedOn w:val="20"/>
    <w:semiHidden/>
    <w:unhideWhenUsed/>
    <w:qFormat/>
    <w:uiPriority w:val="0"/>
    <w:rPr>
      <w:rFonts w:ascii="PMingLiU" w:hAnsi="PMingLiU" w:eastAsia="PMingLiU" w:cs="PMingLiU"/>
      <w:color w:val="000000"/>
      <w:spacing w:val="30"/>
      <w:w w:val="80"/>
      <w:position w:val="0"/>
      <w:sz w:val="20"/>
      <w:szCs w:val="20"/>
      <w:u w:val="none"/>
      <w:lang w:val="zh-CN" w:eastAsia="zh-CN" w:bidi="zh-CN"/>
    </w:rPr>
  </w:style>
  <w:style w:type="character" w:customStyle="1" w:styleId="39">
    <w:name w:val="Header or footer|1 + Times New Roman2"/>
    <w:basedOn w:val="20"/>
    <w:semiHidden/>
    <w:unhideWhenUsed/>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40">
    <w:name w:val="Body text|2 + 10.5 pt"/>
    <w:basedOn w:val="12"/>
    <w:semiHidden/>
    <w:unhideWhenUsed/>
    <w:qFormat/>
    <w:uiPriority w:val="0"/>
    <w:rPr>
      <w:rFonts w:ascii="PMingLiU" w:hAnsi="PMingLiU" w:eastAsia="PMingLiU" w:cs="PMingLiU"/>
      <w:color w:val="000000"/>
      <w:spacing w:val="60"/>
      <w:w w:val="100"/>
      <w:position w:val="0"/>
      <w:sz w:val="21"/>
      <w:szCs w:val="21"/>
      <w:u w:val="none"/>
      <w:lang w:val="zh-CN" w:eastAsia="zh-CN" w:bidi="zh-CN"/>
    </w:rPr>
  </w:style>
  <w:style w:type="character" w:customStyle="1" w:styleId="41">
    <w:name w:val="Body text|5 + 5 pt"/>
    <w:basedOn w:val="10"/>
    <w:semiHidden/>
    <w:unhideWhenUsed/>
    <w:qFormat/>
    <w:uiPriority w:val="0"/>
    <w:rPr>
      <w:rFonts w:ascii="PMingLiU" w:hAnsi="PMingLiU" w:eastAsia="PMingLiU" w:cs="PMingLiU"/>
      <w:color w:val="000000"/>
      <w:spacing w:val="30"/>
      <w:w w:val="100"/>
      <w:position w:val="0"/>
      <w:sz w:val="10"/>
      <w:szCs w:val="10"/>
      <w:u w:val="none"/>
      <w:lang w:val="zh-CN" w:eastAsia="zh-CN" w:bidi="zh-CN"/>
    </w:rPr>
  </w:style>
  <w:style w:type="character" w:customStyle="1" w:styleId="42">
    <w:name w:val="Body text|5 + Not Bold"/>
    <w:basedOn w:val="10"/>
    <w:semiHidden/>
    <w:unhideWhenUsed/>
    <w:qFormat/>
    <w:uiPriority w:val="0"/>
    <w:rPr>
      <w:rFonts w:ascii="PMingLiU" w:hAnsi="PMingLiU" w:eastAsia="PMingLiU" w:cs="PMingLiU"/>
      <w:color w:val="000000"/>
      <w:spacing w:val="0"/>
      <w:w w:val="100"/>
      <w:position w:val="0"/>
      <w:sz w:val="30"/>
      <w:szCs w:val="30"/>
      <w:u w:val="none"/>
      <w:lang w:val="zh-CN" w:eastAsia="zh-CN" w:bidi="zh-CN"/>
    </w:rPr>
  </w:style>
  <w:style w:type="character" w:customStyle="1" w:styleId="43">
    <w:name w:val="Body text|8_"/>
    <w:basedOn w:val="3"/>
    <w:link w:val="44"/>
    <w:qFormat/>
    <w:uiPriority w:val="0"/>
    <w:rPr>
      <w:rFonts w:ascii="PMingLiU" w:hAnsi="PMingLiU" w:eastAsia="PMingLiU" w:cs="PMingLiU"/>
      <w:sz w:val="30"/>
      <w:szCs w:val="30"/>
      <w:u w:val="none"/>
    </w:rPr>
  </w:style>
  <w:style w:type="paragraph" w:customStyle="1" w:styleId="44">
    <w:name w:val="Body text|8"/>
    <w:basedOn w:val="1"/>
    <w:link w:val="43"/>
    <w:qFormat/>
    <w:uiPriority w:val="0"/>
    <w:pPr>
      <w:shd w:val="clear" w:color="auto" w:fill="FFFFFF"/>
      <w:spacing w:line="600" w:lineRule="exact"/>
      <w:ind w:firstLine="720"/>
      <w:jc w:val="distribute"/>
    </w:pPr>
    <w:rPr>
      <w:rFonts w:ascii="PMingLiU" w:hAnsi="PMingLiU" w:eastAsia="PMingLiU" w:cs="PMingLiU"/>
      <w:sz w:val="30"/>
      <w:szCs w:val="30"/>
    </w:rPr>
  </w:style>
  <w:style w:type="character" w:customStyle="1" w:styleId="45">
    <w:name w:val="Body text|2 + 12 pt1"/>
    <w:basedOn w:val="12"/>
    <w:semiHidden/>
    <w:unhideWhenUsed/>
    <w:qFormat/>
    <w:uiPriority w:val="0"/>
    <w:rPr>
      <w:rFonts w:ascii="PMingLiU" w:hAnsi="PMingLiU" w:eastAsia="PMingLiU" w:cs="PMingLiU"/>
      <w:color w:val="000000"/>
      <w:spacing w:val="20"/>
      <w:w w:val="100"/>
      <w:position w:val="0"/>
      <w:sz w:val="24"/>
      <w:szCs w:val="24"/>
      <w:u w:val="none"/>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418</Words>
  <Characters>2386</Characters>
  <Lines>19</Lines>
  <Paragraphs>5</Paragraphs>
  <TotalTime>20</TotalTime>
  <ScaleCrop>false</ScaleCrop>
  <LinksUpToDate>false</LinksUpToDate>
  <CharactersWithSpaces>2799</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2019-01-17T03:01:00Z</dcterms:created>
  <dc:creator>Administrator</dc:creator>
  <cp:lastModifiedBy>Administrator</cp:lastModifiedBy>
  <cp:lastPrinted>2019-02-18T00:59:00Z</cp:lastPrinted>
  <dcterms:modified xsi:type="dcterms:W3CDTF">2020-03-19T06:52:01Z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