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6A3B" w:rsidRDefault="009764E7">
      <w:pPr>
        <w:pStyle w:val="Bodytext30"/>
        <w:shd w:val="clear" w:color="auto" w:fill="auto"/>
        <w:spacing w:after="0" w:line="900" w:lineRule="exact"/>
        <w:rPr>
          <w:b/>
          <w:bCs/>
        </w:rPr>
      </w:pPr>
      <w:r>
        <w:rPr>
          <w:rFonts w:hint="eastAsia"/>
          <w:b/>
          <w:bCs/>
        </w:rPr>
        <w:t>石台县</w:t>
      </w:r>
      <w:r>
        <w:rPr>
          <w:rFonts w:eastAsia="宋体" w:hint="eastAsia"/>
          <w:b/>
          <w:bCs/>
          <w:lang w:val="en-US"/>
        </w:rPr>
        <w:t>供销社</w:t>
      </w:r>
      <w:r>
        <w:rPr>
          <w:b/>
          <w:bCs/>
        </w:rPr>
        <w:br/>
      </w:r>
      <w:r>
        <w:rPr>
          <w:b/>
          <w:bCs/>
        </w:rPr>
        <w:br/>
      </w:r>
      <w:r>
        <w:rPr>
          <w:rStyle w:val="Bodytext3TimesNewRoman"/>
          <w:rFonts w:eastAsia="PMingLiU"/>
        </w:rPr>
        <w:t>201</w:t>
      </w:r>
      <w:r>
        <w:rPr>
          <w:rStyle w:val="Bodytext3TimesNewRoman"/>
          <w:rFonts w:eastAsia="PMingLiU" w:hint="eastAsia"/>
          <w:lang w:val="en-US"/>
        </w:rPr>
        <w:t>9</w:t>
      </w:r>
      <w:r>
        <w:rPr>
          <w:b/>
          <w:bCs/>
        </w:rPr>
        <w:t>年部门预算</w:t>
      </w: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</w:pPr>
    </w:p>
    <w:p w:rsidR="00626A3B" w:rsidRDefault="00626A3B">
      <w:pPr>
        <w:pStyle w:val="Bodytext30"/>
        <w:shd w:val="clear" w:color="auto" w:fill="auto"/>
        <w:spacing w:after="0" w:line="560" w:lineRule="exact"/>
        <w:jc w:val="both"/>
      </w:pPr>
    </w:p>
    <w:p w:rsidR="00626A3B" w:rsidRDefault="009764E7">
      <w:pPr>
        <w:pStyle w:val="Bodytext30"/>
        <w:shd w:val="clear" w:color="auto" w:fill="auto"/>
        <w:spacing w:after="0" w:line="560" w:lineRule="exact"/>
        <w:rPr>
          <w:sz w:val="2"/>
          <w:szCs w:val="2"/>
        </w:rPr>
        <w:sectPr w:rsidR="00626A3B">
          <w:pgSz w:w="11900" w:h="16840"/>
          <w:pgMar w:top="1920" w:right="0" w:bottom="1775" w:left="0" w:header="0" w:footer="3" w:gutter="0"/>
          <w:cols w:space="720"/>
          <w:docGrid w:linePitch="360"/>
        </w:sectPr>
      </w:pPr>
      <w:r>
        <w:rPr>
          <w:rStyle w:val="Bodytext4Spacing4pt"/>
        </w:rPr>
        <w:t>201</w:t>
      </w:r>
      <w:r>
        <w:rPr>
          <w:rStyle w:val="Bodytext4Spacing4pt"/>
          <w:rFonts w:hint="eastAsia"/>
          <w:lang w:val="en-US"/>
        </w:rPr>
        <w:t>9</w:t>
      </w:r>
      <w:r>
        <w:rPr>
          <w:rStyle w:val="Bodytext4Spacing4pt"/>
        </w:rPr>
        <w:t>年</w:t>
      </w:r>
      <w:r>
        <w:rPr>
          <w:rStyle w:val="Bodytext4Spacing4pt"/>
          <w:lang w:val="en-US"/>
        </w:rPr>
        <w:t>1</w:t>
      </w:r>
      <w:r>
        <w:rPr>
          <w:rStyle w:val="Bodytext4Spacing4pt"/>
        </w:rPr>
        <w:t>月</w:t>
      </w:r>
      <w:r>
        <w:rPr>
          <w:rStyle w:val="Bodytext4Spacing4pt"/>
          <w:rFonts w:hint="eastAsia"/>
          <w:lang w:val="en-US"/>
        </w:rPr>
        <w:t>10</w:t>
      </w:r>
      <w:r>
        <w:rPr>
          <w:rStyle w:val="Bodytext4Spacing4pt"/>
          <w:rFonts w:hint="eastAsia"/>
          <w:lang w:val="en-US"/>
        </w:rPr>
        <w:t>日</w:t>
      </w:r>
    </w:p>
    <w:p w:rsidR="00626A3B" w:rsidRDefault="009764E7">
      <w:pPr>
        <w:pStyle w:val="Bodytext50"/>
        <w:shd w:val="clear" w:color="auto" w:fill="auto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第一部分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部门概况</w:t>
      </w:r>
    </w:p>
    <w:p w:rsidR="00626A3B" w:rsidRDefault="009764E7">
      <w:pPr>
        <w:pStyle w:val="Bodytext20"/>
        <w:numPr>
          <w:ilvl w:val="0"/>
          <w:numId w:val="1"/>
        </w:numPr>
        <w:shd w:val="clear" w:color="auto" w:fill="auto"/>
        <w:tabs>
          <w:tab w:val="left" w:pos="382"/>
        </w:tabs>
        <w:spacing w:before="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主要职责</w:t>
      </w:r>
    </w:p>
    <w:p w:rsidR="00626A3B" w:rsidRDefault="009764E7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3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部门预算单位构成</w:t>
      </w:r>
    </w:p>
    <w:p w:rsidR="00626A3B" w:rsidRDefault="009764E7">
      <w:pPr>
        <w:pStyle w:val="Bodytext20"/>
        <w:numPr>
          <w:ilvl w:val="0"/>
          <w:numId w:val="1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年度主要工作任务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第二部分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年部门预算情况说明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" w:eastAsia="仿宋" w:hAnsi="仿宋" w:cs="仿宋" w:hint="eastAsia"/>
          <w:b w:val="0"/>
          <w:bCs w:val="0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年财政拨款收支预算总体情况说明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年一般公共预算财政拨款情况说明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3.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年一般公共预算基本支出情况说明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4.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年政府性基金预算拨款情况说明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5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年收支预算总体情况说明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6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年收入预算情况说明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7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年支出预算情况说明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8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关于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年国有资本经营预算拨款情况说明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  <w:lang w:val="en-US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9.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批复绩效目标的项目及绩效目标设置情况说明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_GB2312" w:eastAsia="仿宋_GB2312" w:hAnsi="仿宋_GB2312" w:cs="仿宋_GB2312"/>
          <w:b w:val="0"/>
          <w:bCs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  <w:lang w:val="en-US"/>
        </w:rPr>
        <w:t>10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.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>其他重要事项情况说明（含机关运行经费、政府采购预算、政府购买服务预算、国有资产占用情况等说明）</w:t>
      </w:r>
      <w:r>
        <w:rPr>
          <w:rFonts w:ascii="仿宋_GB2312" w:eastAsia="仿宋_GB2312" w:hAnsi="仿宋_GB2312" w:cs="仿宋_GB2312" w:hint="eastAsia"/>
          <w:b w:val="0"/>
          <w:bCs w:val="0"/>
          <w:sz w:val="32"/>
          <w:szCs w:val="32"/>
        </w:rPr>
        <w:t xml:space="preserve"> </w:t>
      </w:r>
    </w:p>
    <w:p w:rsidR="00626A3B" w:rsidRDefault="009764E7">
      <w:pPr>
        <w:pStyle w:val="Bodytext20"/>
        <w:shd w:val="clear" w:color="auto" w:fill="auto"/>
        <w:tabs>
          <w:tab w:val="left" w:pos="392"/>
        </w:tabs>
        <w:spacing w:before="0"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第三部分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名词解释</w:t>
      </w:r>
    </w:p>
    <w:p w:rsidR="00626A3B" w:rsidRDefault="009764E7">
      <w:pPr>
        <w:pStyle w:val="Bodytext50"/>
        <w:shd w:val="clear" w:color="auto" w:fill="auto"/>
        <w:spacing w:after="0" w:line="538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第四部分</w:t>
      </w:r>
      <w:r>
        <w:rPr>
          <w:rFonts w:ascii="仿宋" w:eastAsia="仿宋" w:hAnsi="仿宋" w:cs="仿宋" w:hint="eastAsia"/>
          <w:sz w:val="32"/>
          <w:szCs w:val="32"/>
          <w:lang w:val="en-US"/>
        </w:rPr>
        <w:t xml:space="preserve"> 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年部门预算表（附表）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38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年部门财政拨款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收支预算总表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年部门一般公共预算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部门支出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年部门一般公共预算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基本支出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政府性基金收支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年部门收支预算总表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392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收入</w:t>
      </w:r>
      <w:r>
        <w:rPr>
          <w:rFonts w:ascii="仿宋_GB2312" w:eastAsia="仿宋_GB2312" w:hAnsi="仿宋_GB2312" w:cs="仿宋_GB2312" w:hint="eastAsia"/>
          <w:sz w:val="32"/>
          <w:szCs w:val="32"/>
        </w:rPr>
        <w:t>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</w:rPr>
        <w:t>年部门支出预算</w:t>
      </w:r>
      <w:r>
        <w:rPr>
          <w:rFonts w:ascii="仿宋_GB2312" w:eastAsia="仿宋_GB2312" w:hAnsi="仿宋_GB2312" w:cs="仿宋_GB2312" w:hint="eastAsia"/>
          <w:sz w:val="32"/>
          <w:szCs w:val="32"/>
        </w:rPr>
        <w:t>总</w:t>
      </w:r>
      <w:r>
        <w:rPr>
          <w:rFonts w:ascii="仿宋_GB2312" w:eastAsia="仿宋_GB2312" w:hAnsi="仿宋_GB2312" w:cs="仿宋_GB2312" w:hint="eastAsia"/>
          <w:sz w:val="32"/>
          <w:szCs w:val="32"/>
        </w:rPr>
        <w:t>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lastRenderedPageBreak/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年部门</w:t>
      </w:r>
      <w:r>
        <w:rPr>
          <w:rFonts w:ascii="仿宋_GB2312" w:eastAsia="仿宋_GB2312" w:hAnsi="仿宋_GB2312" w:cs="仿宋_GB2312" w:hint="eastAsia"/>
          <w:sz w:val="32"/>
          <w:szCs w:val="32"/>
        </w:rPr>
        <w:t>国有资本经营预算支出预算表</w:t>
      </w:r>
    </w:p>
    <w:p w:rsidR="00626A3B" w:rsidRDefault="009764E7">
      <w:pPr>
        <w:pStyle w:val="Bodytext20"/>
        <w:numPr>
          <w:ilvl w:val="0"/>
          <w:numId w:val="2"/>
        </w:numPr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年部门政府采购预算表</w:t>
      </w:r>
    </w:p>
    <w:p w:rsidR="00626A3B" w:rsidRDefault="009764E7">
      <w:pPr>
        <w:pStyle w:val="Bodytext20"/>
        <w:shd w:val="clear" w:color="auto" w:fill="auto"/>
        <w:tabs>
          <w:tab w:val="left" w:pos="411"/>
        </w:tabs>
        <w:spacing w:before="0" w:after="0" w:line="538" w:lineRule="exact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10.201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9</w:t>
      </w:r>
      <w:r>
        <w:rPr>
          <w:rFonts w:ascii="仿宋_GB2312" w:eastAsia="仿宋_GB2312" w:hAnsi="仿宋_GB2312" w:cs="仿宋_GB2312" w:hint="eastAsia"/>
          <w:sz w:val="32"/>
          <w:szCs w:val="32"/>
          <w:lang w:val="en-US"/>
        </w:rPr>
        <w:t>年政府购买服务预算表表</w:t>
      </w:r>
    </w:p>
    <w:p w:rsidR="00626A3B" w:rsidRDefault="00626A3B">
      <w:pPr>
        <w:pStyle w:val="Bodytext60"/>
        <w:shd w:val="clear" w:color="auto" w:fill="auto"/>
        <w:spacing w:after="81"/>
        <w:ind w:left="80"/>
        <w:rPr>
          <w:rFonts w:ascii="仿宋_GB2312" w:eastAsia="仿宋_GB2312" w:hAnsi="仿宋_GB2312" w:cs="仿宋_GB2312"/>
        </w:rPr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jc w:val="both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/>
        <w:ind w:left="80"/>
      </w:pPr>
    </w:p>
    <w:p w:rsidR="00626A3B" w:rsidRDefault="00626A3B">
      <w:pPr>
        <w:pStyle w:val="Bodytext60"/>
        <w:shd w:val="clear" w:color="auto" w:fill="auto"/>
        <w:spacing w:after="81" w:line="360" w:lineRule="auto"/>
        <w:jc w:val="both"/>
      </w:pPr>
    </w:p>
    <w:p w:rsidR="00626A3B" w:rsidRDefault="00626A3B">
      <w:pPr>
        <w:pStyle w:val="Bodytext60"/>
        <w:shd w:val="clear" w:color="auto" w:fill="auto"/>
        <w:spacing w:after="81" w:line="360" w:lineRule="auto"/>
        <w:jc w:val="both"/>
        <w:rPr>
          <w:rFonts w:ascii="仿宋" w:eastAsia="仿宋" w:hAnsi="仿宋" w:cs="仿宋"/>
          <w:b/>
          <w:bCs/>
        </w:rPr>
      </w:pPr>
    </w:p>
    <w:p w:rsidR="00626A3B" w:rsidRDefault="009764E7" w:rsidP="00551E65">
      <w:pPr>
        <w:pStyle w:val="Bodytext60"/>
        <w:shd w:val="clear" w:color="auto" w:fill="auto"/>
        <w:spacing w:after="81" w:line="360" w:lineRule="auto"/>
        <w:ind w:firstLineChars="800" w:firstLine="2810"/>
        <w:jc w:val="both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第一部分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部门概况</w:t>
      </w:r>
    </w:p>
    <w:p w:rsidR="00626A3B" w:rsidRDefault="009764E7" w:rsidP="00551E65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一、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主要职责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</w:rPr>
        <w:t> 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（一）宣传贯彻党委、政府有关农村经济工作方针、政策。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（二）研究制定全县供销社的发展规划，指导全县供销社的组织建设。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（三）引导发展农村合作经济组织，参加农业产业化经营和农业综合项目开发，促进农村经济发展。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（四）协调有关部门，指导全县供销社体制改革，改善经营管理，坚持开放办社，开展多形式、多层次的联合与合作。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（五）负责本系统废旧物资回收，烟花爆竹专营等特种行业的管理和协调。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（六）做好茶叶、蚕茧、棉花等农产品和农业生产资料经营管理工作。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（七）指导、帮助全县供销社企业发展对外贸易，参与国际市场竞争。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（八）监管县级供销社社有资产，对社属企事业单位行使出资人职能。</w:t>
      </w: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（九）承办县委、县政府交办的其他工作。</w:t>
      </w:r>
    </w:p>
    <w:p w:rsidR="00626A3B" w:rsidRDefault="00626A3B">
      <w:pPr>
        <w:widowControl/>
        <w:shd w:val="clear" w:color="auto" w:fill="FFFFFF"/>
        <w:spacing w:line="560" w:lineRule="atLeast"/>
        <w:rPr>
          <w:rFonts w:ascii="微软雅黑" w:eastAsia="微软雅黑" w:hAnsi="微软雅黑" w:cs="微软雅黑"/>
          <w:color w:val="333333"/>
        </w:rPr>
      </w:pPr>
    </w:p>
    <w:p w:rsidR="00626A3B" w:rsidRDefault="00626A3B">
      <w:pPr>
        <w:widowControl/>
        <w:shd w:val="clear" w:color="auto" w:fill="FFFFFF"/>
        <w:spacing w:line="504" w:lineRule="atLeast"/>
        <w:rPr>
          <w:rFonts w:ascii="微软雅黑" w:hAnsi="微软雅黑" w:cs="宋体"/>
          <w:color w:val="333333"/>
        </w:rPr>
      </w:pPr>
    </w:p>
    <w:p w:rsidR="00626A3B" w:rsidRDefault="00626A3B">
      <w:pPr>
        <w:widowControl/>
        <w:shd w:val="clear" w:color="auto" w:fill="FFFFFF"/>
        <w:spacing w:line="560" w:lineRule="atLeast"/>
        <w:rPr>
          <w:rFonts w:ascii="微软雅黑" w:eastAsia="微软雅黑" w:hAnsi="微软雅黑" w:cs="微软雅黑"/>
          <w:color w:val="333333"/>
        </w:rPr>
      </w:pPr>
    </w:p>
    <w:p w:rsidR="00626A3B" w:rsidRDefault="00626A3B">
      <w:pPr>
        <w:widowControl/>
        <w:shd w:val="clear" w:color="auto" w:fill="FFFFFF"/>
        <w:spacing w:line="504" w:lineRule="atLeast"/>
        <w:rPr>
          <w:rFonts w:ascii="微软雅黑" w:hAnsi="微软雅黑" w:cs="宋体"/>
          <w:color w:val="333333"/>
        </w:rPr>
      </w:pPr>
    </w:p>
    <w:p w:rsidR="00626A3B" w:rsidRDefault="009764E7" w:rsidP="00551E65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二、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部门预算单位构成</w:t>
      </w:r>
    </w:p>
    <w:tbl>
      <w:tblPr>
        <w:tblW w:w="9014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912"/>
        <w:gridCol w:w="3600"/>
        <w:gridCol w:w="4502"/>
      </w:tblGrid>
      <w:tr w:rsidR="00626A3B">
        <w:trPr>
          <w:trHeight w:hRule="exact" w:val="408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序号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单位名称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单位性质</w:t>
            </w:r>
          </w:p>
        </w:tc>
      </w:tr>
      <w:tr w:rsidR="00626A3B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</w:rPr>
              <w:t>石台县供销社本级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Fonts w:ascii="仿宋" w:eastAsia="仿宋" w:hAnsi="仿宋" w:cs="仿宋"/>
                <w:sz w:val="24"/>
                <w:szCs w:val="24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参照公务员法管理的事业单位</w:t>
            </w:r>
          </w:p>
        </w:tc>
      </w:tr>
      <w:tr w:rsidR="00626A3B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</w:t>
            </w: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中心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</w:t>
            </w:r>
            <w:r>
              <w:rPr>
                <w:rStyle w:val="Bodytext212pt1"/>
                <w:rFonts w:ascii="仿宋" w:eastAsia="仿宋" w:hAnsi="仿宋" w:cs="仿宋" w:hint="eastAsia"/>
              </w:rPr>
              <w:t>事业</w:t>
            </w:r>
          </w:p>
        </w:tc>
      </w:tr>
      <w:tr w:rsidR="00626A3B">
        <w:trPr>
          <w:trHeight w:hRule="exact" w:val="413"/>
          <w:jc w:val="center"/>
        </w:trPr>
        <w:tc>
          <w:tcPr>
            <w:tcW w:w="9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3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</w:t>
            </w: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处</w:t>
            </w:r>
          </w:p>
        </w:tc>
        <w:tc>
          <w:tcPr>
            <w:tcW w:w="4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26A3B" w:rsidRDefault="009764E7" w:rsidP="00551E65">
            <w:pPr>
              <w:pStyle w:val="Bodytext20"/>
              <w:framePr w:w="9014" w:wrap="notBeside" w:vAnchor="text" w:hAnchor="page" w:x="1416" w:y="1991"/>
              <w:shd w:val="clear" w:color="auto" w:fill="auto"/>
              <w:spacing w:before="0" w:after="0" w:line="360" w:lineRule="auto"/>
              <w:ind w:firstLineChars="200" w:firstLine="520"/>
              <w:jc w:val="center"/>
              <w:rPr>
                <w:rStyle w:val="Bodytext212pt1"/>
                <w:rFonts w:ascii="仿宋" w:eastAsia="仿宋" w:hAnsi="仿宋" w:cs="仿宋"/>
                <w:lang w:val="en-US"/>
              </w:rPr>
            </w:pP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**</w:t>
            </w:r>
            <w:r>
              <w:rPr>
                <w:rStyle w:val="Bodytext212pt1"/>
                <w:rFonts w:ascii="仿宋" w:eastAsia="仿宋" w:hAnsi="仿宋" w:cs="仿宋" w:hint="eastAsia"/>
                <w:lang w:val="en-US"/>
              </w:rPr>
              <w:t>事业</w:t>
            </w:r>
          </w:p>
        </w:tc>
      </w:tr>
    </w:tbl>
    <w:p w:rsidR="00626A3B" w:rsidRDefault="00626A3B">
      <w:pPr>
        <w:framePr w:w="9014" w:wrap="notBeside" w:vAnchor="text" w:hAnchor="page" w:x="1416" w:y="1991"/>
        <w:spacing w:line="360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626A3B" w:rsidRDefault="009764E7">
      <w:pPr>
        <w:widowControl/>
        <w:shd w:val="clear" w:color="auto" w:fill="FFFFFF"/>
        <w:spacing w:line="504" w:lineRule="atLeast"/>
        <w:ind w:firstLineChars="200"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有预算单位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1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个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，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2018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年度部门预算由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石台县供销社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本级组成，纳入部门预算编制范围的单位共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1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</w:rPr>
        <w:t>个，具体情况见下表。</w:t>
      </w:r>
    </w:p>
    <w:p w:rsidR="00626A3B" w:rsidRDefault="009764E7" w:rsidP="00551E65">
      <w:pPr>
        <w:pStyle w:val="Bodytext50"/>
        <w:shd w:val="clear" w:color="auto" w:fill="auto"/>
        <w:tabs>
          <w:tab w:val="left" w:pos="1301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三、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2019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年度主要工作任务</w:t>
      </w:r>
    </w:p>
    <w:p w:rsidR="00626A3B" w:rsidRDefault="009764E7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坚持以习近平新时代中国特色社会主义思想为指导，深入学习贯彻党的十九大精神，在县委县政府正确领导下做好如下工作，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年主要工作任务是：一是坚持“发展自我、服务农民”的总要求，进一步深化机构改革和体制创新。</w:t>
      </w:r>
    </w:p>
    <w:p w:rsidR="00626A3B" w:rsidRDefault="009764E7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二是积极推进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“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新网工程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”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建设，重点抓好农资、烟花爆竹、废旧物品回收和电子商务进农村等网络建设。新建基层社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2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家。</w:t>
      </w:r>
    </w:p>
    <w:p w:rsidR="00626A3B" w:rsidRDefault="009764E7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三是支持为农服务的办社宗旨，以提高农业生产组织化、规模化和农产品品牌化为目标，大力发展各类农民专业合作社，重点创建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3-5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家省级示范专业社。领办和自办农民专业合作社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5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家。</w:t>
      </w:r>
    </w:p>
    <w:p w:rsidR="00626A3B" w:rsidRDefault="009764E7">
      <w:pPr>
        <w:widowControl/>
        <w:shd w:val="clear" w:color="auto" w:fill="FFFFFF"/>
        <w:ind w:firstLine="64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四是坚持围绕中心、服务大局，以化解历史遗留问题为重点，努力维护社会政治稳定，重点解决好改制企业留守人员和机关聘用人员的清退问题。</w:t>
      </w:r>
    </w:p>
    <w:p w:rsidR="00626A3B" w:rsidRDefault="00626A3B">
      <w:pPr>
        <w:pStyle w:val="a3"/>
        <w:widowControl/>
        <w:shd w:val="clear" w:color="auto" w:fill="FFFFFF"/>
        <w:spacing w:before="0" w:beforeAutospacing="0" w:after="0" w:afterAutospacing="0" w:line="560" w:lineRule="atLeast"/>
        <w:ind w:firstLine="633"/>
        <w:rPr>
          <w:rFonts w:ascii="微软雅黑" w:eastAsia="微软雅黑" w:hAnsi="微软雅黑" w:cs="微软雅黑"/>
          <w:color w:val="333333"/>
        </w:rPr>
      </w:pPr>
    </w:p>
    <w:p w:rsidR="00626A3B" w:rsidRDefault="00626A3B">
      <w:pPr>
        <w:widowControl/>
        <w:shd w:val="clear" w:color="auto" w:fill="FFFFFF"/>
        <w:spacing w:line="504" w:lineRule="atLeast"/>
        <w:jc w:val="center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</w:p>
    <w:p w:rsidR="00626A3B" w:rsidRDefault="00626A3B">
      <w:pPr>
        <w:widowControl/>
        <w:shd w:val="clear" w:color="auto" w:fill="FFFFFF"/>
        <w:spacing w:line="504" w:lineRule="atLeast"/>
        <w:jc w:val="center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</w:p>
    <w:p w:rsidR="00626A3B" w:rsidRDefault="00626A3B">
      <w:pPr>
        <w:widowControl/>
        <w:shd w:val="clear" w:color="auto" w:fill="FFFFFF"/>
        <w:spacing w:line="504" w:lineRule="atLeast"/>
        <w:jc w:val="center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</w:p>
    <w:p w:rsidR="00626A3B" w:rsidRDefault="009764E7" w:rsidP="00551E65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第二部分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Style w:val="Bodytext6TimesNewRoman"/>
          <w:rFonts w:ascii="仿宋" w:eastAsia="仿宋" w:hAnsi="仿宋" w:cs="仿宋" w:hint="eastAsia"/>
          <w:b/>
          <w:bCs/>
          <w:sz w:val="32"/>
          <w:szCs w:val="32"/>
        </w:rPr>
        <w:t>201</w:t>
      </w:r>
      <w:r>
        <w:rPr>
          <w:rStyle w:val="Bodytext6TimesNewRoman"/>
          <w:rFonts w:ascii="仿宋" w:eastAsia="仿宋" w:hAnsi="仿宋" w:cs="仿宋" w:hint="eastAsia"/>
          <w:b/>
          <w:bCs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b/>
          <w:bCs/>
        </w:rPr>
        <w:t>年部门预算情况说明</w:t>
      </w:r>
    </w:p>
    <w:p w:rsidR="00626A3B" w:rsidRDefault="009764E7" w:rsidP="00551E65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5pt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55pt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年财政拨款收支预算总体情况说明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年财政拨款收支预算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133.4306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万元。收入按资金来源分为：一般公共预算拨款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131.7568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万元，纳入专户管理政府非税收入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万元；按资金年度分为：当年财政拨款收入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131.7568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万元，财政专户收入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万元。支出按功能分类分为：商业服务业等支出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112.3344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84.19%;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社会保障和就业支出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10.9591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万元；占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8.21%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；医疗卫生与计划生育支出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3.5617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2.67%;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住房保障支出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6.5754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4.93%.</w:t>
      </w:r>
    </w:p>
    <w:p w:rsidR="00626A3B" w:rsidRDefault="009764E7">
      <w:pPr>
        <w:pStyle w:val="Bodytext50"/>
        <w:shd w:val="clear" w:color="auto" w:fill="auto"/>
        <w:tabs>
          <w:tab w:val="left" w:pos="1473"/>
        </w:tabs>
        <w:spacing w:after="0"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5NotBold"/>
          <w:rFonts w:ascii="仿宋" w:eastAsia="仿宋" w:hAnsi="仿宋" w:cs="仿宋" w:hint="eastAsia"/>
          <w:sz w:val="32"/>
          <w:szCs w:val="32"/>
        </w:rPr>
        <w:t>二、</w:t>
      </w:r>
      <w:r>
        <w:rPr>
          <w:rStyle w:val="Bodytext5NotBold"/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年一般公共预算拨款情况说明</w:t>
      </w:r>
    </w:p>
    <w:p w:rsidR="00626A3B" w:rsidRDefault="009764E7">
      <w:pPr>
        <w:pStyle w:val="Bodytext80"/>
        <w:shd w:val="clear" w:color="auto" w:fill="auto"/>
        <w:tabs>
          <w:tab w:val="left" w:pos="1573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</w:t>
      </w:r>
      <w:r>
        <w:rPr>
          <w:rFonts w:ascii="仿宋" w:eastAsia="仿宋" w:hAnsi="仿宋" w:cs="仿宋" w:hint="eastAsia"/>
          <w:sz w:val="32"/>
          <w:szCs w:val="32"/>
        </w:rPr>
        <w:t>）一般公共预算拨款规模变化情况。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年一般公共预算拨款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131.7506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年预算拨款增加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0.7506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0.57%,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增加原因主要是单位人员工资基数正常调整。</w:t>
      </w:r>
    </w:p>
    <w:p w:rsidR="00626A3B" w:rsidRDefault="009764E7">
      <w:pPr>
        <w:pStyle w:val="Bodytext80"/>
        <w:shd w:val="clear" w:color="auto" w:fill="auto"/>
        <w:tabs>
          <w:tab w:val="left" w:pos="1573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  <w:lang w:val="en-US"/>
        </w:rPr>
      </w:pPr>
      <w:r>
        <w:rPr>
          <w:rFonts w:ascii="仿宋" w:eastAsia="仿宋" w:hAnsi="仿宋" w:cs="仿宋" w:hint="eastAsia"/>
          <w:sz w:val="32"/>
          <w:szCs w:val="32"/>
          <w:lang w:val="en-US"/>
        </w:rPr>
        <w:t>（二）一般公共预算拨款结构情况。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社会保障和就业支出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10.9591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万元；占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8.32%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；城乡社区支出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35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26.57%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；商业服务业等支出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75.6544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57.42%;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医疗卫生与计划生育支出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3.5617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2.7%;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住房保障支出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6.5754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4.99%.</w:t>
      </w:r>
    </w:p>
    <w:p w:rsidR="00626A3B" w:rsidRDefault="009764E7">
      <w:pPr>
        <w:pStyle w:val="Bodytext80"/>
        <w:shd w:val="clear" w:color="auto" w:fill="auto"/>
        <w:tabs>
          <w:tab w:val="left" w:pos="1578"/>
        </w:tabs>
        <w:spacing w:line="360" w:lineRule="auto"/>
        <w:ind w:firstLineChars="200" w:firstLine="640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（三）一般公共预算拨款具体使用情况。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“商业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服务业等支出</w:t>
      </w:r>
      <w:bookmarkStart w:id="0" w:name="_GoBack"/>
      <w:bookmarkEnd w:id="0"/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75.6544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年基本持平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增加原因主要是本年度单位行政人员保障自然调整增长。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“城乡社区支出”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35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年预算基本持平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主要用于新网工程项目支出。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“社会保障和就业支出”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10.9591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0.91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8.3%,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主要用于本年度单位行政人员养老保险金补助自然增长。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“医疗卫生与计划生育支出”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3.5617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年预算减少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0.038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万元，减少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，减少原因主要是行政事业单位职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工工资基数自然调整。其中：“行政单位医疗”预算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3.5617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万元，主要用于单位行政人员医疗保险补助。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“住房保障支出”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6.5754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减少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0.125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万元，减少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1.9%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，减少原因主要是职工工资基数正常调整。其中：“住房公积金”预算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6.5754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万元，主要用于职工住房公积金支出。</w:t>
      </w:r>
    </w:p>
    <w:p w:rsidR="00626A3B" w:rsidRDefault="00626A3B" w:rsidP="00551E65">
      <w:pPr>
        <w:pStyle w:val="Bodytext20"/>
        <w:shd w:val="clear" w:color="auto" w:fill="auto"/>
        <w:tabs>
          <w:tab w:val="left" w:pos="1107"/>
        </w:tabs>
        <w:spacing w:before="0" w:after="0" w:line="360" w:lineRule="auto"/>
        <w:ind w:leftChars="200" w:left="480" w:firstLineChars="100" w:firstLine="350"/>
        <w:rPr>
          <w:rFonts w:ascii="仿宋" w:eastAsia="仿宋" w:hAnsi="仿宋" w:cs="仿宋"/>
          <w:sz w:val="32"/>
          <w:szCs w:val="32"/>
        </w:rPr>
      </w:pPr>
    </w:p>
    <w:p w:rsidR="00626A3B" w:rsidRDefault="009764E7" w:rsidP="00551E65">
      <w:pPr>
        <w:pStyle w:val="Bodytext50"/>
        <w:shd w:val="clear" w:color="auto" w:fill="auto"/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三、关于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年一般公共预算基本支出情况说明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年一般公共预算基本支出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96.75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万元，其中：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工资福利支出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80.46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万元，主要包括：基本工资、津贴补贴、奖金、机关事业单位基本养老保险缴费、城镇职工基本医疗保险缴费、其他社会保障缴费、住房公积金、医疗费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...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商品和服务支出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万元，主要包括：办公费、印刷费、邮电费、差旅费、培训费、工会经费、福利费、其他交通费用、其他商品和服务支出。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对个人和家庭的补助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7.29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万元，主要包括：医疗费补助、其他对个人和家庭的补助支出。</w:t>
      </w: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四、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年政府性基金预算拨款情况说明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年政府性基金预算拨款收入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万元，主要为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；政府性基金预算拨款安排支出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万元，无此安排。</w:t>
      </w: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五、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年收支预算总体情况说明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按照综合预算管理原则，石台县供销社所有收入和支出均纳入部门预算管理。石台县供销社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年收支总预算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133.4306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万元，收入为一般公共预算拨款收入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131.7506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万元，国库管理非税收入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万元，支出包括：商业服务业等支出（商业流通事务支出）、城乡社区支出、社会保障和就业支出、医疗卫生与计划生育支出、住房保障支出等。</w:t>
      </w: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六、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年收入预算情况说明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年收入预算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133.4306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万元，其中：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一般公共预算拨款收入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131.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7506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98.74%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0.7506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万元，基本持平；财政专户非税返还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1.26%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。</w:t>
      </w: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七、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年支出预算情况说明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年支出预算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133.4306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万元，比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2017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年预算增加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0.7306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万元，增加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0.55%,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增加原因主要是单位人员正常调整。其中，基本支出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96.75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72.51%,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主要用于保障本级单位基本行政运行；项目支出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36.68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万元，占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27.49%,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主要用于其他商业流通事务项目（新网工程项目）支出。</w:t>
      </w: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八、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关于</w:t>
      </w:r>
      <w:r>
        <w:rPr>
          <w:rFonts w:ascii="仿宋" w:eastAsia="仿宋" w:hAnsi="仿宋" w:cs="仿宋" w:hint="eastAsia"/>
          <w:sz w:val="32"/>
          <w:szCs w:val="32"/>
        </w:rPr>
        <w:t>201</w:t>
      </w:r>
      <w:r>
        <w:rPr>
          <w:rFonts w:ascii="仿宋" w:eastAsia="仿宋" w:hAnsi="仿宋" w:cs="仿宋" w:hint="eastAsia"/>
          <w:sz w:val="32"/>
          <w:szCs w:val="32"/>
          <w:lang w:val="en-US"/>
        </w:rPr>
        <w:t>9</w:t>
      </w:r>
      <w:r>
        <w:rPr>
          <w:rFonts w:ascii="仿宋" w:eastAsia="仿宋" w:hAnsi="仿宋" w:cs="仿宋" w:hint="eastAsia"/>
          <w:sz w:val="32"/>
          <w:szCs w:val="32"/>
        </w:rPr>
        <w:t>年国有资本经营预算拨款</w:t>
      </w:r>
      <w:r>
        <w:rPr>
          <w:rFonts w:ascii="仿宋" w:eastAsia="仿宋" w:hAnsi="仿宋" w:cs="仿宋" w:hint="eastAsia"/>
          <w:sz w:val="32"/>
          <w:szCs w:val="32"/>
        </w:rPr>
        <w:t>情况说明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年没有国有资本经营预算拨款收入，也没有使用国有资本经营预算拨款安排的支出。</w:t>
      </w:r>
    </w:p>
    <w:p w:rsidR="00626A3B" w:rsidRDefault="009764E7" w:rsidP="00551E65">
      <w:pPr>
        <w:pStyle w:val="Bodytext20"/>
        <w:numPr>
          <w:ilvl w:val="0"/>
          <w:numId w:val="3"/>
        </w:numPr>
        <w:shd w:val="clear" w:color="auto" w:fill="auto"/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项目绩效目标设置情况说明</w:t>
      </w:r>
    </w:p>
    <w:p w:rsidR="00626A3B" w:rsidRDefault="009764E7">
      <w:pPr>
        <w:widowControl/>
        <w:shd w:val="clear" w:color="auto" w:fill="FFFFFF"/>
        <w:spacing w:line="504" w:lineRule="atLeast"/>
        <w:ind w:firstLineChars="100" w:firstLine="32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石台县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供销社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201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9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年项目支出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，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按规定设置支出绩效目标，实行部门自评或第三方评估。</w:t>
      </w:r>
    </w:p>
    <w:p w:rsidR="00626A3B" w:rsidRDefault="00626A3B" w:rsidP="00551E65">
      <w:pPr>
        <w:pStyle w:val="Bodytext20"/>
        <w:shd w:val="clear" w:color="auto" w:fill="auto"/>
        <w:spacing w:before="0" w:after="0" w:line="360" w:lineRule="auto"/>
        <w:ind w:firstLineChars="200" w:firstLine="700"/>
        <w:jc w:val="both"/>
        <w:rPr>
          <w:rFonts w:ascii="仿宋" w:eastAsia="仿宋" w:hAnsi="仿宋" w:cs="仿宋"/>
          <w:sz w:val="32"/>
          <w:szCs w:val="32"/>
          <w:lang w:val="en-US"/>
        </w:rPr>
      </w:pPr>
    </w:p>
    <w:p w:rsidR="00626A3B" w:rsidRDefault="009764E7" w:rsidP="00551E65">
      <w:pPr>
        <w:pStyle w:val="Bodytext50"/>
        <w:shd w:val="clear" w:color="auto" w:fill="auto"/>
        <w:tabs>
          <w:tab w:val="left" w:pos="1316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十、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其他重要事项情况说明</w:t>
      </w:r>
    </w:p>
    <w:p w:rsidR="00626A3B" w:rsidRDefault="009764E7" w:rsidP="00551E65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（一）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机关运行经费。</w:t>
      </w:r>
    </w:p>
    <w:p w:rsidR="00626A3B" w:rsidRDefault="009764E7">
      <w:pPr>
        <w:widowControl/>
        <w:shd w:val="clear" w:color="auto" w:fill="FFFFFF"/>
        <w:spacing w:line="504" w:lineRule="atLeast"/>
        <w:ind w:firstLineChars="100" w:firstLine="320"/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年机关运行经费财政拨款预算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9.0</w:t>
      </w:r>
      <w:r>
        <w:rPr>
          <w:rFonts w:ascii="仿宋_GB2312" w:eastAsia="仿宋_GB2312" w:hAnsi="微软雅黑" w:cs="宋体" w:hint="eastAsia"/>
          <w:color w:val="333333"/>
          <w:sz w:val="32"/>
          <w:szCs w:val="32"/>
          <w:shd w:val="clear" w:color="auto" w:fill="FFFFFF"/>
          <w:lang w:val="en-US"/>
        </w:rPr>
        <w:t>万元，主要用于</w:t>
      </w:r>
      <w:r>
        <w:rPr>
          <w:rFonts w:ascii="仿宋_GB2312" w:eastAsia="仿宋_GB2312" w:hAnsi="微软雅黑" w:cs="宋体"/>
          <w:color w:val="333333"/>
          <w:sz w:val="32"/>
          <w:szCs w:val="32"/>
          <w:shd w:val="clear" w:color="auto" w:fill="FFFFFF"/>
          <w:lang w:val="en-US"/>
        </w:rPr>
        <w:t>办公费、印刷费、邮电费、差旅费、培训费、水费、电费等支出。</w:t>
      </w:r>
    </w:p>
    <w:p w:rsidR="00626A3B" w:rsidRDefault="009764E7" w:rsidP="00551E65">
      <w:pPr>
        <w:pStyle w:val="Bodytext20"/>
        <w:shd w:val="clear" w:color="auto" w:fill="auto"/>
        <w:spacing w:before="0" w:after="0" w:line="360" w:lineRule="auto"/>
        <w:ind w:firstLineChars="200" w:firstLine="70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626A3B" w:rsidRDefault="009764E7" w:rsidP="00551E65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政府采购情况。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2019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年政府采购预算总额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万元。其中：政府采购货物预算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万元，政府采购服务预算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万元。</w:t>
      </w:r>
    </w:p>
    <w:p w:rsidR="00626A3B" w:rsidRDefault="009764E7" w:rsidP="00551E65">
      <w:pPr>
        <w:pStyle w:val="Bodytext50"/>
        <w:shd w:val="clear" w:color="auto" w:fill="auto"/>
        <w:tabs>
          <w:tab w:val="left" w:pos="1673"/>
        </w:tabs>
        <w:spacing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>
        <w:rPr>
          <w:rFonts w:ascii="仿宋" w:eastAsia="仿宋" w:hAnsi="仿宋" w:cs="仿宋" w:hint="eastAsia"/>
          <w:sz w:val="32"/>
          <w:szCs w:val="32"/>
        </w:rPr>
        <w:tab/>
      </w:r>
      <w:r>
        <w:rPr>
          <w:rFonts w:ascii="仿宋" w:eastAsia="仿宋" w:hAnsi="仿宋" w:cs="仿宋" w:hint="eastAsia"/>
          <w:sz w:val="32"/>
          <w:szCs w:val="32"/>
        </w:rPr>
        <w:t>国有资产占用使用情况。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石台县供销社有公务用车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辆，单位价值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50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万元以上的通用设备单位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个，价值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100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万元以上的专用设备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个。</w:t>
      </w:r>
    </w:p>
    <w:p w:rsidR="00626A3B" w:rsidRDefault="009764E7">
      <w:pPr>
        <w:pStyle w:val="Bodytext20"/>
        <w:shd w:val="clear" w:color="auto" w:fill="auto"/>
        <w:spacing w:before="0" w:after="0" w:line="360" w:lineRule="auto"/>
        <w:ind w:firstLineChars="200" w:firstLine="640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201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8</w:t>
      </w: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年底，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石台县供销社</w:t>
      </w: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固定资产总额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63.0594</w:t>
      </w:r>
      <w:r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  <w:t>万元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。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2018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年部门预算安排公务用车购置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万元，购置公务用车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辆，安排购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lastRenderedPageBreak/>
        <w:t>置单位价值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50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万元以上的通用设备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个，安排购置单位价值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100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万元以上专用设备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0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个。</w:t>
      </w:r>
    </w:p>
    <w:p w:rsidR="00626A3B" w:rsidRDefault="009764E7" w:rsidP="00551E65">
      <w:pPr>
        <w:pStyle w:val="Bodytext60"/>
        <w:shd w:val="clear" w:color="auto" w:fill="auto"/>
        <w:spacing w:after="0" w:line="360" w:lineRule="auto"/>
        <w:ind w:firstLineChars="200" w:firstLine="703"/>
        <w:rPr>
          <w:rFonts w:ascii="仿宋" w:eastAsia="仿宋" w:hAnsi="仿宋" w:cs="仿宋"/>
          <w:b/>
          <w:bCs/>
        </w:rPr>
      </w:pPr>
      <w:r>
        <w:rPr>
          <w:rFonts w:ascii="仿宋" w:eastAsia="仿宋" w:hAnsi="仿宋" w:cs="仿宋" w:hint="eastAsia"/>
          <w:b/>
          <w:bCs/>
        </w:rPr>
        <w:t>第三部分</w:t>
      </w:r>
      <w:r>
        <w:rPr>
          <w:rFonts w:ascii="仿宋" w:eastAsia="仿宋" w:hAnsi="仿宋" w:cs="仿宋" w:hint="eastAsia"/>
          <w:b/>
          <w:bCs/>
          <w:lang w:val="en-US"/>
        </w:rPr>
        <w:t xml:space="preserve"> </w:t>
      </w:r>
      <w:r>
        <w:rPr>
          <w:rFonts w:ascii="仿宋" w:eastAsia="仿宋" w:hAnsi="仿宋" w:cs="仿宋" w:hint="eastAsia"/>
          <w:b/>
          <w:bCs/>
        </w:rPr>
        <w:t>名词解释</w:t>
      </w:r>
    </w:p>
    <w:p w:rsidR="00626A3B" w:rsidRDefault="009764E7" w:rsidP="00551E65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" w:eastAsia="仿宋" w:hAnsi="仿宋" w:cs="仿宋"/>
          <w:sz w:val="32"/>
          <w:szCs w:val="32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一、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财政拨款收入：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指市财政当年拨付的资金，主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要包括一般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公共预算拨款收入和政府性基金拨款收入。</w:t>
      </w:r>
    </w:p>
    <w:p w:rsidR="00626A3B" w:rsidRDefault="009764E7" w:rsidP="00551E65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</w:rPr>
        <w:t>二、</w:t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ab/>
      </w:r>
      <w:r>
        <w:rPr>
          <w:rStyle w:val="Bodytext2Bold"/>
          <w:rFonts w:ascii="仿宋" w:eastAsia="仿宋" w:hAnsi="仿宋" w:cs="仿宋" w:hint="eastAsia"/>
          <w:sz w:val="32"/>
          <w:szCs w:val="32"/>
        </w:rPr>
        <w:t>基本支出：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指为保障机构正常运转、完成日常工作任务而发生的人员支出和公用支出。</w:t>
      </w:r>
    </w:p>
    <w:p w:rsidR="00626A3B" w:rsidRDefault="009764E7" w:rsidP="00551E65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三、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ab/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项目支出：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指在基本支出之外为完成特定行政任务和事业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发展目标所发生的支出。</w:t>
      </w:r>
    </w:p>
    <w:p w:rsidR="00626A3B" w:rsidRDefault="009764E7" w:rsidP="00626A3B">
      <w:pPr>
        <w:pStyle w:val="Bodytext20"/>
        <w:shd w:val="clear" w:color="auto" w:fill="auto"/>
        <w:tabs>
          <w:tab w:val="left" w:pos="1279"/>
        </w:tabs>
        <w:spacing w:before="0" w:after="0" w:line="360" w:lineRule="auto"/>
        <w:ind w:firstLineChars="200" w:firstLine="703"/>
        <w:jc w:val="both"/>
        <w:rPr>
          <w:rFonts w:ascii="仿宋_GB2312" w:eastAsia="仿宋_GB2312" w:hAnsi="微软雅黑" w:cs="宋体"/>
          <w:color w:val="333333"/>
          <w:spacing w:val="0"/>
          <w:sz w:val="32"/>
          <w:szCs w:val="32"/>
          <w:shd w:val="clear" w:color="auto" w:fill="FFFFFF"/>
          <w:lang w:val="en-US"/>
        </w:rPr>
      </w:pP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四、</w:t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ab/>
      </w:r>
      <w:r>
        <w:rPr>
          <w:rStyle w:val="Bodytext2Bold"/>
          <w:rFonts w:ascii="仿宋" w:eastAsia="仿宋" w:hAnsi="仿宋" w:cs="仿宋" w:hint="eastAsia"/>
          <w:sz w:val="32"/>
          <w:szCs w:val="32"/>
          <w:lang w:val="en-US"/>
        </w:rPr>
        <w:t>机关运行经费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：指各部门的公用经费，包括办公及印刷费、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 xml:space="preserve"> </w:t>
      </w:r>
      <w:r>
        <w:rPr>
          <w:rFonts w:ascii="仿宋_GB2312" w:eastAsia="仿宋_GB2312" w:hAnsi="微软雅黑" w:cs="宋体" w:hint="eastAsia"/>
          <w:color w:val="333333"/>
          <w:spacing w:val="0"/>
          <w:sz w:val="32"/>
          <w:szCs w:val="32"/>
          <w:shd w:val="clear" w:color="auto" w:fill="FFFFFF"/>
          <w:lang w:val="en-US"/>
        </w:rPr>
        <w:t>邮电费、差旅费、会议费、福利费、日常维修费、专用材料及一般设备购置费、办公用房水电费、办公用房取暖费、办公用房物业管理费、公务用车运行维护费以及其他费用。</w:t>
      </w:r>
    </w:p>
    <w:sectPr w:rsidR="00626A3B" w:rsidSect="00626A3B">
      <w:headerReference w:type="default" r:id="rId8"/>
      <w:footerReference w:type="even" r:id="rId9"/>
      <w:footerReference w:type="default" r:id="rId10"/>
      <w:pgSz w:w="11900" w:h="16840"/>
      <w:pgMar w:top="1586" w:right="1237" w:bottom="1616" w:left="1198" w:header="0" w:footer="3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64E7" w:rsidRDefault="009764E7"/>
  </w:endnote>
  <w:endnote w:type="continuationSeparator" w:id="0">
    <w:p w:rsidR="009764E7" w:rsidRDefault="009764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3B" w:rsidRDefault="00626A3B">
    <w:pPr>
      <w:rPr>
        <w:sz w:val="2"/>
        <w:szCs w:val="2"/>
      </w:rPr>
    </w:pPr>
    <w:r w:rsidRPr="00626A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4" type="#_x0000_t202" style="position:absolute;margin-left:288.75pt;margin-top:780.6pt;width:7.45pt;height:6.25pt;z-index:-251658240;mso-wrap-style:none;mso-position-horizontal-relative:page;mso-position-vertical-relative:page" filled="f" stroked="f">
          <v:textbox style="mso-fit-shape-to-text:t" inset="0,0,0,0">
            <w:txbxContent>
              <w:p w:rsidR="00626A3B" w:rsidRDefault="00626A3B">
                <w:pPr>
                  <w:pStyle w:val="Headerorfooter11"/>
                  <w:shd w:val="clear" w:color="auto" w:fill="auto"/>
                  <w:spacing w:line="240" w:lineRule="auto"/>
                </w:pPr>
                <w:r w:rsidRPr="00626A3B">
                  <w:fldChar w:fldCharType="begin"/>
                </w:r>
                <w:r w:rsidR="009764E7">
                  <w:instrText xml:space="preserve"> PAGE \* MERGEFORMAT </w:instrText>
                </w:r>
                <w:r w:rsidRPr="00626A3B">
                  <w:fldChar w:fldCharType="separate"/>
                </w:r>
                <w:r w:rsidR="009764E7">
                  <w:rPr>
                    <w:rStyle w:val="Headerorfooter1TimesNewRoman"/>
                    <w:rFonts w:eastAsia="PMingLiU"/>
                  </w:rPr>
                  <w:t>8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3B" w:rsidRDefault="00626A3B">
    <w:pPr>
      <w:rPr>
        <w:sz w:val="2"/>
        <w:szCs w:val="2"/>
      </w:rPr>
    </w:pPr>
    <w:r w:rsidRPr="00626A3B">
      <w:pict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margin-left:288.75pt;margin-top:780.6pt;width:7.45pt;height:6.25pt;z-index:-251659264;mso-wrap-style:none;mso-position-horizontal-relative:page;mso-position-vertical-relative:page" filled="f" stroked="f">
          <v:textbox style="mso-fit-shape-to-text:t" inset="0,0,0,0">
            <w:txbxContent>
              <w:p w:rsidR="00626A3B" w:rsidRDefault="00626A3B">
                <w:pPr>
                  <w:pStyle w:val="Headerorfooter11"/>
                  <w:shd w:val="clear" w:color="auto" w:fill="auto"/>
                  <w:spacing w:line="240" w:lineRule="auto"/>
                </w:pPr>
                <w:r w:rsidRPr="00626A3B">
                  <w:fldChar w:fldCharType="begin"/>
                </w:r>
                <w:r w:rsidR="009764E7">
                  <w:instrText xml:space="preserve"> PAGE \* MERGEFORMAT </w:instrText>
                </w:r>
                <w:r w:rsidRPr="00626A3B">
                  <w:fldChar w:fldCharType="separate"/>
                </w:r>
                <w:r w:rsidR="00551E65" w:rsidRPr="00551E65">
                  <w:rPr>
                    <w:rStyle w:val="Headerorfooter1TimesNewRoman"/>
                    <w:rFonts w:eastAsia="PMingLiU"/>
                    <w:noProof/>
                  </w:rPr>
                  <w:t>11</w:t>
                </w:r>
                <w:r>
                  <w:rPr>
                    <w:rStyle w:val="Headerorfooter1TimesNewRoman"/>
                    <w:rFonts w:eastAsia="PMingLiU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64E7" w:rsidRDefault="009764E7"/>
  </w:footnote>
  <w:footnote w:type="continuationSeparator" w:id="0">
    <w:p w:rsidR="009764E7" w:rsidRDefault="009764E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6A3B" w:rsidRDefault="00626A3B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F092B84"/>
    <w:multiLevelType w:val="singleLevel"/>
    <w:tmpl w:val="CF092B84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1">
    <w:nsid w:val="0053208E"/>
    <w:multiLevelType w:val="singleLevel"/>
    <w:tmpl w:val="0053208E"/>
    <w:lvl w:ilvl="0">
      <w:start w:val="1"/>
      <w:numFmt w:val="decimal"/>
      <w:lvlText w:val="%1."/>
      <w:lvlJc w:val="left"/>
      <w:rPr>
        <w:rFonts w:ascii="PMingLiU" w:eastAsia="PMingLiU" w:hAnsi="PMingLiU" w:cs="PMingLiU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30"/>
        <w:szCs w:val="30"/>
        <w:u w:val="none"/>
        <w:lang w:val="en-US" w:eastAsia="en-US" w:bidi="en-US"/>
      </w:rPr>
    </w:lvl>
  </w:abstractNum>
  <w:abstractNum w:abstractNumId="2">
    <w:nsid w:val="32E7DDA3"/>
    <w:multiLevelType w:val="singleLevel"/>
    <w:tmpl w:val="32E7DDA3"/>
    <w:lvl w:ilvl="0">
      <w:start w:val="9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420"/>
  <w:drawingGridHorizontalSpacing w:val="181"/>
  <w:drawingGridVerticalSpacing w:val="181"/>
  <w:noPunctuationKerning/>
  <w:characterSpacingControl w:val="compressPunctuation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>
    <w:doNotExpandShiftReturn/>
    <w:doNotWrapTextWithPunct/>
    <w:doNotUseEastAsianBreakRules/>
    <w:useFELayout/>
    <w:doNotUseIndentAsNumberingTabStop/>
    <w:useAltKinsokuLineBreakRules/>
  </w:compat>
  <w:rsids>
    <w:rsidRoot w:val="0033577B"/>
    <w:rsid w:val="001C4CBF"/>
    <w:rsid w:val="0033577B"/>
    <w:rsid w:val="00497B4B"/>
    <w:rsid w:val="005301E8"/>
    <w:rsid w:val="00551E65"/>
    <w:rsid w:val="00626A3B"/>
    <w:rsid w:val="00641A63"/>
    <w:rsid w:val="006B33A9"/>
    <w:rsid w:val="009764E7"/>
    <w:rsid w:val="00B13BEE"/>
    <w:rsid w:val="00DA621A"/>
    <w:rsid w:val="043E2F4A"/>
    <w:rsid w:val="047D78B9"/>
    <w:rsid w:val="04E9641D"/>
    <w:rsid w:val="074910A2"/>
    <w:rsid w:val="0785427E"/>
    <w:rsid w:val="0D1A45DD"/>
    <w:rsid w:val="0D8574D2"/>
    <w:rsid w:val="0DAA3451"/>
    <w:rsid w:val="0E170C1C"/>
    <w:rsid w:val="123A1647"/>
    <w:rsid w:val="13E32373"/>
    <w:rsid w:val="14F04E9F"/>
    <w:rsid w:val="1C8D24DC"/>
    <w:rsid w:val="1D4A2712"/>
    <w:rsid w:val="1DDE2AFD"/>
    <w:rsid w:val="1EA0796A"/>
    <w:rsid w:val="1F2D795C"/>
    <w:rsid w:val="21071CD9"/>
    <w:rsid w:val="24187DF0"/>
    <w:rsid w:val="24E877DF"/>
    <w:rsid w:val="250E3D3B"/>
    <w:rsid w:val="265042E5"/>
    <w:rsid w:val="276B45D1"/>
    <w:rsid w:val="28265DC8"/>
    <w:rsid w:val="283233E6"/>
    <w:rsid w:val="299D31EA"/>
    <w:rsid w:val="2B9B6641"/>
    <w:rsid w:val="2C7C38A6"/>
    <w:rsid w:val="2EDA3662"/>
    <w:rsid w:val="2F142897"/>
    <w:rsid w:val="2F3D0F23"/>
    <w:rsid w:val="2FC8303B"/>
    <w:rsid w:val="30F977E1"/>
    <w:rsid w:val="32B737A7"/>
    <w:rsid w:val="36F23E90"/>
    <w:rsid w:val="3C597A01"/>
    <w:rsid w:val="3D7A4687"/>
    <w:rsid w:val="3D81035B"/>
    <w:rsid w:val="405B5988"/>
    <w:rsid w:val="430000D7"/>
    <w:rsid w:val="43620820"/>
    <w:rsid w:val="460354CB"/>
    <w:rsid w:val="48105303"/>
    <w:rsid w:val="48820020"/>
    <w:rsid w:val="4A972C95"/>
    <w:rsid w:val="4AA81C1E"/>
    <w:rsid w:val="4AC75B2F"/>
    <w:rsid w:val="4B894EB0"/>
    <w:rsid w:val="4E24045A"/>
    <w:rsid w:val="4E935B51"/>
    <w:rsid w:val="50E907FF"/>
    <w:rsid w:val="52B7244C"/>
    <w:rsid w:val="5BCE528C"/>
    <w:rsid w:val="5CEF232E"/>
    <w:rsid w:val="61FC630D"/>
    <w:rsid w:val="62A45082"/>
    <w:rsid w:val="6368771C"/>
    <w:rsid w:val="673D6FD7"/>
    <w:rsid w:val="6A6261E0"/>
    <w:rsid w:val="6C890CDF"/>
    <w:rsid w:val="6EC55030"/>
    <w:rsid w:val="6FA1255B"/>
    <w:rsid w:val="788147BA"/>
    <w:rsid w:val="7AB86BD0"/>
    <w:rsid w:val="7D8D0811"/>
    <w:rsid w:val="7F583F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4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26A3B"/>
    <w:pPr>
      <w:widowControl w:val="0"/>
    </w:pPr>
    <w:rPr>
      <w:rFonts w:eastAsia="Times New Roman"/>
      <w:color w:val="000000"/>
      <w:sz w:val="24"/>
      <w:szCs w:val="24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26A3B"/>
    <w:pPr>
      <w:spacing w:before="100" w:beforeAutospacing="1" w:after="100" w:afterAutospacing="1"/>
    </w:pPr>
    <w:rPr>
      <w:lang w:val="en-US" w:bidi="ar-SA"/>
    </w:rPr>
  </w:style>
  <w:style w:type="character" w:customStyle="1" w:styleId="Bodytext3">
    <w:name w:val="Body text|3_"/>
    <w:basedOn w:val="a0"/>
    <w:link w:val="Bodytext30"/>
    <w:qFormat/>
    <w:rsid w:val="00626A3B"/>
    <w:rPr>
      <w:rFonts w:ascii="PMingLiU" w:eastAsia="PMingLiU" w:hAnsi="PMingLiU" w:cs="PMingLiU"/>
      <w:sz w:val="52"/>
      <w:szCs w:val="52"/>
      <w:u w:val="none"/>
    </w:rPr>
  </w:style>
  <w:style w:type="paragraph" w:customStyle="1" w:styleId="Bodytext30">
    <w:name w:val="Body text|3"/>
    <w:basedOn w:val="a"/>
    <w:link w:val="Bodytext3"/>
    <w:qFormat/>
    <w:rsid w:val="00626A3B"/>
    <w:pPr>
      <w:shd w:val="clear" w:color="auto" w:fill="FFFFFF"/>
      <w:spacing w:after="5400" w:line="1133" w:lineRule="exact"/>
      <w:jc w:val="center"/>
    </w:pPr>
    <w:rPr>
      <w:rFonts w:ascii="PMingLiU" w:eastAsia="PMingLiU" w:hAnsi="PMingLiU" w:cs="PMingLiU"/>
      <w:sz w:val="52"/>
      <w:szCs w:val="52"/>
    </w:rPr>
  </w:style>
  <w:style w:type="character" w:customStyle="1" w:styleId="Bodytext3TimesNewRoman">
    <w:name w:val="Body text|3 + Times New Roman"/>
    <w:basedOn w:val="Bodytext3"/>
    <w:semiHidden/>
    <w:unhideWhenUsed/>
    <w:qFormat/>
    <w:rsid w:val="00626A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54"/>
      <w:szCs w:val="54"/>
      <w:u w:val="none"/>
      <w:lang w:val="zh-CN" w:eastAsia="zh-CN" w:bidi="zh-CN"/>
    </w:rPr>
  </w:style>
  <w:style w:type="character" w:customStyle="1" w:styleId="Bodytext4">
    <w:name w:val="Body text|4_"/>
    <w:basedOn w:val="a0"/>
    <w:link w:val="Bodytext40"/>
    <w:qFormat/>
    <w:rsid w:val="00626A3B"/>
    <w:rPr>
      <w:rFonts w:ascii="PMingLiU" w:eastAsia="PMingLiU" w:hAnsi="PMingLiU" w:cs="PMingLiU"/>
      <w:sz w:val="36"/>
      <w:szCs w:val="36"/>
      <w:u w:val="none"/>
    </w:rPr>
  </w:style>
  <w:style w:type="paragraph" w:customStyle="1" w:styleId="Bodytext40">
    <w:name w:val="Body text|4"/>
    <w:basedOn w:val="a"/>
    <w:link w:val="Bodytext4"/>
    <w:qFormat/>
    <w:rsid w:val="00626A3B"/>
    <w:pPr>
      <w:shd w:val="clear" w:color="auto" w:fill="FFFFFF"/>
      <w:spacing w:before="5400" w:line="360" w:lineRule="exact"/>
    </w:pPr>
    <w:rPr>
      <w:rFonts w:ascii="PMingLiU" w:eastAsia="PMingLiU" w:hAnsi="PMingLiU" w:cs="PMingLiU"/>
      <w:sz w:val="36"/>
      <w:szCs w:val="36"/>
    </w:rPr>
  </w:style>
  <w:style w:type="character" w:customStyle="1" w:styleId="Bodytext4Spacing4pt">
    <w:name w:val="Body text|4 + Spacing 4 pt"/>
    <w:basedOn w:val="Bodytext4"/>
    <w:semiHidden/>
    <w:unhideWhenUsed/>
    <w:qFormat/>
    <w:rsid w:val="00626A3B"/>
    <w:rPr>
      <w:rFonts w:ascii="PMingLiU" w:eastAsia="PMingLiU" w:hAnsi="PMingLiU" w:cs="PMingLiU"/>
      <w:color w:val="000000"/>
      <w:spacing w:val="80"/>
      <w:w w:val="100"/>
      <w:position w:val="0"/>
      <w:sz w:val="36"/>
      <w:szCs w:val="36"/>
      <w:u w:val="none"/>
      <w:lang w:val="zh-CN" w:eastAsia="zh-CN" w:bidi="zh-CN"/>
    </w:rPr>
  </w:style>
  <w:style w:type="character" w:customStyle="1" w:styleId="Bodytext5">
    <w:name w:val="Body text|5_"/>
    <w:basedOn w:val="a0"/>
    <w:link w:val="Bodytext50"/>
    <w:qFormat/>
    <w:rsid w:val="00626A3B"/>
    <w:rPr>
      <w:rFonts w:ascii="PMingLiU" w:eastAsia="PMingLiU" w:hAnsi="PMingLiU" w:cs="PMingLiU"/>
      <w:b/>
      <w:bCs/>
      <w:spacing w:val="30"/>
      <w:sz w:val="30"/>
      <w:szCs w:val="30"/>
      <w:u w:val="none"/>
    </w:rPr>
  </w:style>
  <w:style w:type="paragraph" w:customStyle="1" w:styleId="Bodytext50">
    <w:name w:val="Body text|5"/>
    <w:basedOn w:val="a"/>
    <w:link w:val="Bodytext5"/>
    <w:qFormat/>
    <w:rsid w:val="00626A3B"/>
    <w:pPr>
      <w:shd w:val="clear" w:color="auto" w:fill="FFFFFF"/>
      <w:spacing w:after="220" w:line="300" w:lineRule="exact"/>
    </w:pPr>
    <w:rPr>
      <w:rFonts w:ascii="PMingLiU" w:eastAsia="PMingLiU" w:hAnsi="PMingLiU" w:cs="PMingLiU"/>
      <w:b/>
      <w:bCs/>
      <w:spacing w:val="30"/>
      <w:sz w:val="30"/>
      <w:szCs w:val="30"/>
    </w:rPr>
  </w:style>
  <w:style w:type="character" w:customStyle="1" w:styleId="Bodytext2">
    <w:name w:val="Body text|2_"/>
    <w:basedOn w:val="a0"/>
    <w:link w:val="Bodytext20"/>
    <w:qFormat/>
    <w:rsid w:val="00626A3B"/>
    <w:rPr>
      <w:rFonts w:ascii="PMingLiU" w:eastAsia="PMingLiU" w:hAnsi="PMingLiU" w:cs="PMingLiU"/>
      <w:spacing w:val="30"/>
      <w:sz w:val="30"/>
      <w:szCs w:val="30"/>
      <w:u w:val="none"/>
    </w:rPr>
  </w:style>
  <w:style w:type="paragraph" w:customStyle="1" w:styleId="Bodytext20">
    <w:name w:val="Body text|2"/>
    <w:basedOn w:val="a"/>
    <w:link w:val="Bodytext2"/>
    <w:qFormat/>
    <w:rsid w:val="00626A3B"/>
    <w:pPr>
      <w:shd w:val="clear" w:color="auto" w:fill="FFFFFF"/>
      <w:spacing w:before="220" w:after="220" w:line="300" w:lineRule="exact"/>
    </w:pPr>
    <w:rPr>
      <w:rFonts w:ascii="PMingLiU" w:eastAsia="PMingLiU" w:hAnsi="PMingLiU" w:cs="PMingLiU"/>
      <w:spacing w:val="30"/>
      <w:sz w:val="30"/>
      <w:szCs w:val="30"/>
    </w:rPr>
  </w:style>
  <w:style w:type="character" w:customStyle="1" w:styleId="Bodytext2TimesNewRoman">
    <w:name w:val="Body text|2 + Times New Roman"/>
    <w:basedOn w:val="Bodytext2"/>
    <w:semiHidden/>
    <w:unhideWhenUsed/>
    <w:qFormat/>
    <w:rsid w:val="00626A3B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en-US" w:eastAsia="en-US" w:bidi="en-US"/>
    </w:rPr>
  </w:style>
  <w:style w:type="character" w:customStyle="1" w:styleId="Bodytext2Bold">
    <w:name w:val="Body text|2 + Bold"/>
    <w:basedOn w:val="Bodytext2"/>
    <w:semiHidden/>
    <w:unhideWhenUsed/>
    <w:qFormat/>
    <w:rsid w:val="00626A3B"/>
    <w:rPr>
      <w:rFonts w:ascii="PMingLiU" w:eastAsia="PMingLiU" w:hAnsi="PMingLiU" w:cs="PMingLiU"/>
      <w:b/>
      <w:bCs/>
      <w:color w:val="000000"/>
      <w:spacing w:val="3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6">
    <w:name w:val="Body text|6_"/>
    <w:basedOn w:val="a0"/>
    <w:link w:val="Bodytext60"/>
    <w:qFormat/>
    <w:rsid w:val="00626A3B"/>
    <w:rPr>
      <w:rFonts w:ascii="PMingLiU" w:eastAsia="PMingLiU" w:hAnsi="PMingLiU" w:cs="PMingLiU"/>
      <w:spacing w:val="30"/>
      <w:sz w:val="32"/>
      <w:szCs w:val="32"/>
      <w:u w:val="none"/>
    </w:rPr>
  </w:style>
  <w:style w:type="paragraph" w:customStyle="1" w:styleId="Bodytext60">
    <w:name w:val="Body text|6"/>
    <w:basedOn w:val="a"/>
    <w:link w:val="Bodytext6"/>
    <w:qFormat/>
    <w:rsid w:val="00626A3B"/>
    <w:pPr>
      <w:shd w:val="clear" w:color="auto" w:fill="FFFFFF"/>
      <w:spacing w:after="320" w:line="320" w:lineRule="exact"/>
      <w:jc w:val="center"/>
    </w:pPr>
    <w:rPr>
      <w:rFonts w:ascii="PMingLiU" w:eastAsia="PMingLiU" w:hAnsi="PMingLiU" w:cs="PMingLiU"/>
      <w:spacing w:val="30"/>
      <w:sz w:val="32"/>
      <w:szCs w:val="32"/>
    </w:rPr>
  </w:style>
  <w:style w:type="character" w:customStyle="1" w:styleId="Bodytext212pt">
    <w:name w:val="Body text|2 + 12 pt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Bodytext6TimesNewRoman">
    <w:name w:val="Body text|6 + Times New Roman"/>
    <w:basedOn w:val="Bodytext6"/>
    <w:semiHidden/>
    <w:unhideWhenUsed/>
    <w:qFormat/>
    <w:rsid w:val="00626A3B"/>
    <w:rPr>
      <w:rFonts w:ascii="Times New Roman" w:eastAsia="Times New Roman" w:hAnsi="Times New Roman" w:cs="Times New Roman"/>
      <w:color w:val="000000"/>
      <w:spacing w:val="0"/>
      <w:w w:val="100"/>
      <w:position w:val="0"/>
      <w:sz w:val="34"/>
      <w:szCs w:val="34"/>
      <w:u w:val="none"/>
      <w:lang w:val="zh-CN" w:eastAsia="zh-CN" w:bidi="zh-CN"/>
    </w:rPr>
  </w:style>
  <w:style w:type="character" w:customStyle="1" w:styleId="Headerorfooter1">
    <w:name w:val="Header or footer|1_"/>
    <w:basedOn w:val="a0"/>
    <w:link w:val="Headerorfooter11"/>
    <w:qFormat/>
    <w:rsid w:val="00626A3B"/>
    <w:rPr>
      <w:rFonts w:ascii="PMingLiU" w:eastAsia="PMingLiU" w:hAnsi="PMingLiU" w:cs="PMingLiU"/>
      <w:spacing w:val="20"/>
      <w:sz w:val="19"/>
      <w:szCs w:val="19"/>
      <w:u w:val="none"/>
    </w:rPr>
  </w:style>
  <w:style w:type="paragraph" w:customStyle="1" w:styleId="Headerorfooter11">
    <w:name w:val="Header or footer|11"/>
    <w:basedOn w:val="a"/>
    <w:link w:val="Headerorfooter1"/>
    <w:qFormat/>
    <w:rsid w:val="00626A3B"/>
    <w:pPr>
      <w:shd w:val="clear" w:color="auto" w:fill="FFFFFF"/>
      <w:spacing w:line="190" w:lineRule="exact"/>
    </w:pPr>
    <w:rPr>
      <w:rFonts w:ascii="PMingLiU" w:eastAsia="PMingLiU" w:hAnsi="PMingLiU" w:cs="PMingLiU"/>
      <w:spacing w:val="20"/>
      <w:sz w:val="19"/>
      <w:szCs w:val="19"/>
    </w:rPr>
  </w:style>
  <w:style w:type="character" w:customStyle="1" w:styleId="Headerorfooter10">
    <w:name w:val="Header or footer|1"/>
    <w:basedOn w:val="Headerorfooter1"/>
    <w:semiHidden/>
    <w:unhideWhenUsed/>
    <w:qFormat/>
    <w:rsid w:val="00626A3B"/>
    <w:rPr>
      <w:rFonts w:ascii="PMingLiU" w:eastAsia="PMingLiU" w:hAnsi="PMingLiU" w:cs="PMingLiU"/>
      <w:color w:val="000000"/>
      <w:spacing w:val="20"/>
      <w:w w:val="100"/>
      <w:position w:val="0"/>
      <w:sz w:val="19"/>
      <w:szCs w:val="19"/>
      <w:u w:val="none"/>
      <w:lang w:val="zh-CN" w:eastAsia="zh-CN" w:bidi="zh-CN"/>
    </w:rPr>
  </w:style>
  <w:style w:type="character" w:customStyle="1" w:styleId="Headerorfooter1TimesNewRoman">
    <w:name w:val="Header or footer|1 + Times New Roman"/>
    <w:basedOn w:val="Headerorfooter1"/>
    <w:semiHidden/>
    <w:unhideWhenUsed/>
    <w:qFormat/>
    <w:rsid w:val="00626A3B"/>
    <w:rPr>
      <w:rFonts w:ascii="Times New Roman" w:eastAsia="Times New Roman" w:hAnsi="Times New Roman" w:cs="Times New Roman"/>
      <w:color w:val="000000"/>
      <w:spacing w:val="0"/>
      <w:w w:val="100"/>
      <w:position w:val="0"/>
      <w:sz w:val="18"/>
      <w:szCs w:val="18"/>
      <w:u w:val="none"/>
      <w:lang w:val="zh-CN" w:eastAsia="zh-CN" w:bidi="zh-CN"/>
    </w:rPr>
  </w:style>
  <w:style w:type="character" w:customStyle="1" w:styleId="Heading11">
    <w:name w:val="Heading #1|1_"/>
    <w:basedOn w:val="a0"/>
    <w:link w:val="Heading110"/>
    <w:qFormat/>
    <w:rsid w:val="00626A3B"/>
    <w:rPr>
      <w:rFonts w:ascii="PMingLiU" w:eastAsia="PMingLiU" w:hAnsi="PMingLiU" w:cs="PMingLiU"/>
      <w:sz w:val="36"/>
      <w:szCs w:val="36"/>
      <w:u w:val="none"/>
    </w:rPr>
  </w:style>
  <w:style w:type="paragraph" w:customStyle="1" w:styleId="Heading110">
    <w:name w:val="Heading #1|1"/>
    <w:basedOn w:val="a"/>
    <w:link w:val="Heading11"/>
    <w:qFormat/>
    <w:rsid w:val="00626A3B"/>
    <w:pPr>
      <w:shd w:val="clear" w:color="auto" w:fill="FFFFFF"/>
      <w:spacing w:before="780" w:line="360" w:lineRule="exact"/>
      <w:outlineLvl w:val="0"/>
    </w:pPr>
    <w:rPr>
      <w:rFonts w:ascii="PMingLiU" w:eastAsia="PMingLiU" w:hAnsi="PMingLiU" w:cs="PMingLiU"/>
      <w:sz w:val="36"/>
      <w:szCs w:val="36"/>
    </w:rPr>
  </w:style>
  <w:style w:type="character" w:customStyle="1" w:styleId="Tablecaption1">
    <w:name w:val="Table caption|1_"/>
    <w:basedOn w:val="a0"/>
    <w:link w:val="Tablecaption10"/>
    <w:qFormat/>
    <w:rsid w:val="00626A3B"/>
    <w:rPr>
      <w:rFonts w:ascii="PMingLiU" w:eastAsia="PMingLiU" w:hAnsi="PMingLiU" w:cs="PMingLiU"/>
      <w:sz w:val="20"/>
      <w:szCs w:val="20"/>
      <w:u w:val="none"/>
    </w:rPr>
  </w:style>
  <w:style w:type="paragraph" w:customStyle="1" w:styleId="Tablecaption10">
    <w:name w:val="Table caption|1"/>
    <w:basedOn w:val="a"/>
    <w:link w:val="Tablecaption1"/>
    <w:qFormat/>
    <w:rsid w:val="00626A3B"/>
    <w:pPr>
      <w:shd w:val="clear" w:color="auto" w:fill="FFFFFF"/>
      <w:spacing w:line="200" w:lineRule="exact"/>
    </w:pPr>
    <w:rPr>
      <w:rFonts w:ascii="PMingLiU" w:eastAsia="PMingLiU" w:hAnsi="PMingLiU" w:cs="PMingLiU"/>
      <w:sz w:val="20"/>
      <w:szCs w:val="20"/>
    </w:rPr>
  </w:style>
  <w:style w:type="character" w:customStyle="1" w:styleId="Tablecaption1Spacing2pt">
    <w:name w:val="Table caption|1 + Spacing 2 pt"/>
    <w:basedOn w:val="Tablecaption1"/>
    <w:semiHidden/>
    <w:unhideWhenUsed/>
    <w:qFormat/>
    <w:rsid w:val="00626A3B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">
    <w:name w:val="Body text|2 + 10 pt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5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0pt1">
    <w:name w:val="Body text|2 + 10 pt1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0"/>
      <w:w w:val="100"/>
      <w:position w:val="0"/>
      <w:sz w:val="20"/>
      <w:szCs w:val="20"/>
      <w:u w:val="none"/>
      <w:lang w:val="zh-CN" w:eastAsia="zh-CN" w:bidi="zh-CN"/>
    </w:rPr>
  </w:style>
  <w:style w:type="character" w:customStyle="1" w:styleId="Bodytext218pt">
    <w:name w:val="Body text|2 + 18 pt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90"/>
      <w:w w:val="60"/>
      <w:position w:val="0"/>
      <w:sz w:val="36"/>
      <w:szCs w:val="36"/>
      <w:u w:val="none"/>
      <w:lang w:val="zh-CN" w:eastAsia="zh-CN" w:bidi="zh-CN"/>
    </w:rPr>
  </w:style>
  <w:style w:type="character" w:customStyle="1" w:styleId="Bodytext221pt">
    <w:name w:val="Body text|2 + 21 pt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70"/>
      <w:w w:val="90"/>
      <w:position w:val="0"/>
      <w:sz w:val="42"/>
      <w:szCs w:val="42"/>
      <w:u w:val="none"/>
      <w:lang w:val="zh-CN" w:eastAsia="zh-CN" w:bidi="zh-CN"/>
    </w:rPr>
  </w:style>
  <w:style w:type="character" w:customStyle="1" w:styleId="Bodytext2TimesNewRoman1">
    <w:name w:val="Body text|2 + Times New Roman1"/>
    <w:basedOn w:val="Bodytext2"/>
    <w:semiHidden/>
    <w:unhideWhenUsed/>
    <w:qFormat/>
    <w:rsid w:val="00626A3B"/>
    <w:rPr>
      <w:rFonts w:ascii="Times New Roman" w:eastAsia="Times New Roman" w:hAnsi="Times New Roman" w:cs="Times New Roman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Tablecaption1Exact">
    <w:name w:val="Table caption|1 Exact"/>
    <w:basedOn w:val="a0"/>
    <w:semiHidden/>
    <w:unhideWhenUsed/>
    <w:qFormat/>
    <w:rsid w:val="00626A3B"/>
    <w:rPr>
      <w:rFonts w:ascii="PMingLiU" w:eastAsia="PMingLiU" w:hAnsi="PMingLiU" w:cs="PMingLiU"/>
      <w:sz w:val="20"/>
      <w:szCs w:val="20"/>
      <w:u w:val="none"/>
    </w:rPr>
  </w:style>
  <w:style w:type="character" w:customStyle="1" w:styleId="Bodytext7">
    <w:name w:val="Body text|7_"/>
    <w:basedOn w:val="a0"/>
    <w:link w:val="Bodytext70"/>
    <w:qFormat/>
    <w:rsid w:val="00626A3B"/>
    <w:rPr>
      <w:rFonts w:ascii="PMingLiU" w:eastAsia="PMingLiU" w:hAnsi="PMingLiU" w:cs="PMingLiU"/>
      <w:sz w:val="20"/>
      <w:szCs w:val="20"/>
      <w:u w:val="none"/>
    </w:rPr>
  </w:style>
  <w:style w:type="paragraph" w:customStyle="1" w:styleId="Bodytext70">
    <w:name w:val="Body text|7"/>
    <w:basedOn w:val="a"/>
    <w:link w:val="Bodytext7"/>
    <w:qFormat/>
    <w:rsid w:val="00626A3B"/>
    <w:pPr>
      <w:shd w:val="clear" w:color="auto" w:fill="FFFFFF"/>
      <w:spacing w:after="320" w:line="200" w:lineRule="exact"/>
      <w:jc w:val="right"/>
    </w:pPr>
    <w:rPr>
      <w:rFonts w:ascii="PMingLiU" w:eastAsia="PMingLiU" w:hAnsi="PMingLiU" w:cs="PMingLiU"/>
      <w:sz w:val="20"/>
      <w:szCs w:val="20"/>
    </w:rPr>
  </w:style>
  <w:style w:type="character" w:customStyle="1" w:styleId="Headerorfooter1TimesNewRoman1">
    <w:name w:val="Header or footer|1 + Times New Roman1"/>
    <w:basedOn w:val="Headerorfooter1"/>
    <w:semiHidden/>
    <w:unhideWhenUsed/>
    <w:qFormat/>
    <w:rsid w:val="00626A3B"/>
    <w:rPr>
      <w:rFonts w:ascii="Times New Roman" w:eastAsia="Times New Roman" w:hAnsi="Times New Roman" w:cs="Times New Roman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Headerorfooter110pt">
    <w:name w:val="Header or footer|1 + 10 pt"/>
    <w:basedOn w:val="Headerorfooter1"/>
    <w:semiHidden/>
    <w:unhideWhenUsed/>
    <w:qFormat/>
    <w:rsid w:val="00626A3B"/>
    <w:rPr>
      <w:rFonts w:ascii="PMingLiU" w:eastAsia="PMingLiU" w:hAnsi="PMingLiU" w:cs="PMingLiU"/>
      <w:color w:val="000000"/>
      <w:spacing w:val="30"/>
      <w:w w:val="80"/>
      <w:position w:val="0"/>
      <w:sz w:val="20"/>
      <w:szCs w:val="20"/>
      <w:u w:val="none"/>
      <w:lang w:val="zh-CN" w:eastAsia="zh-CN" w:bidi="zh-CN"/>
    </w:rPr>
  </w:style>
  <w:style w:type="character" w:customStyle="1" w:styleId="Headerorfooter1TimesNewRoman2">
    <w:name w:val="Header or footer|1 + Times New Roman2"/>
    <w:basedOn w:val="Headerorfooter1"/>
    <w:semiHidden/>
    <w:unhideWhenUsed/>
    <w:qFormat/>
    <w:rsid w:val="00626A3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Bodytext2105pt">
    <w:name w:val="Body text|2 + 10.5 pt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60"/>
      <w:w w:val="100"/>
      <w:position w:val="0"/>
      <w:sz w:val="21"/>
      <w:szCs w:val="21"/>
      <w:u w:val="none"/>
      <w:lang w:val="zh-CN" w:eastAsia="zh-CN" w:bidi="zh-CN"/>
    </w:rPr>
  </w:style>
  <w:style w:type="character" w:customStyle="1" w:styleId="Bodytext55pt">
    <w:name w:val="Body text|5 + 5 pt"/>
    <w:basedOn w:val="Bodytext5"/>
    <w:semiHidden/>
    <w:unhideWhenUsed/>
    <w:qFormat/>
    <w:rsid w:val="00626A3B"/>
    <w:rPr>
      <w:rFonts w:ascii="PMingLiU" w:eastAsia="PMingLiU" w:hAnsi="PMingLiU" w:cs="PMingLiU"/>
      <w:color w:val="000000"/>
      <w:spacing w:val="30"/>
      <w:w w:val="100"/>
      <w:position w:val="0"/>
      <w:sz w:val="10"/>
      <w:szCs w:val="10"/>
      <w:u w:val="none"/>
      <w:lang w:val="zh-CN" w:eastAsia="zh-CN" w:bidi="zh-CN"/>
    </w:rPr>
  </w:style>
  <w:style w:type="character" w:customStyle="1" w:styleId="Bodytext5NotBold">
    <w:name w:val="Body text|5 + Not Bold"/>
    <w:basedOn w:val="Bodytext5"/>
    <w:semiHidden/>
    <w:unhideWhenUsed/>
    <w:qFormat/>
    <w:rsid w:val="00626A3B"/>
    <w:rPr>
      <w:rFonts w:ascii="PMingLiU" w:eastAsia="PMingLiU" w:hAnsi="PMingLiU" w:cs="PMingLiU"/>
      <w:color w:val="000000"/>
      <w:spacing w:val="0"/>
      <w:w w:val="100"/>
      <w:position w:val="0"/>
      <w:sz w:val="30"/>
      <w:szCs w:val="30"/>
      <w:u w:val="none"/>
      <w:lang w:val="zh-CN" w:eastAsia="zh-CN" w:bidi="zh-CN"/>
    </w:rPr>
  </w:style>
  <w:style w:type="character" w:customStyle="1" w:styleId="Bodytext8">
    <w:name w:val="Body text|8_"/>
    <w:basedOn w:val="a0"/>
    <w:link w:val="Bodytext80"/>
    <w:qFormat/>
    <w:rsid w:val="00626A3B"/>
    <w:rPr>
      <w:rFonts w:ascii="PMingLiU" w:eastAsia="PMingLiU" w:hAnsi="PMingLiU" w:cs="PMingLiU"/>
      <w:sz w:val="30"/>
      <w:szCs w:val="30"/>
      <w:u w:val="none"/>
    </w:rPr>
  </w:style>
  <w:style w:type="paragraph" w:customStyle="1" w:styleId="Bodytext80">
    <w:name w:val="Body text|8"/>
    <w:basedOn w:val="a"/>
    <w:link w:val="Bodytext8"/>
    <w:qFormat/>
    <w:rsid w:val="00626A3B"/>
    <w:pPr>
      <w:shd w:val="clear" w:color="auto" w:fill="FFFFFF"/>
      <w:spacing w:line="600" w:lineRule="exact"/>
      <w:ind w:firstLine="720"/>
      <w:jc w:val="distribute"/>
    </w:pPr>
    <w:rPr>
      <w:rFonts w:ascii="PMingLiU" w:eastAsia="PMingLiU" w:hAnsi="PMingLiU" w:cs="PMingLiU"/>
      <w:sz w:val="30"/>
      <w:szCs w:val="30"/>
    </w:rPr>
  </w:style>
  <w:style w:type="character" w:customStyle="1" w:styleId="Bodytext212pt1">
    <w:name w:val="Body text|2 + 12 pt1"/>
    <w:basedOn w:val="Bodytext2"/>
    <w:semiHidden/>
    <w:unhideWhenUsed/>
    <w:qFormat/>
    <w:rsid w:val="00626A3B"/>
    <w:rPr>
      <w:rFonts w:ascii="PMingLiU" w:eastAsia="PMingLiU" w:hAnsi="PMingLiU" w:cs="PMingLiU"/>
      <w:color w:val="000000"/>
      <w:spacing w:val="20"/>
      <w:w w:val="100"/>
      <w:position w:val="0"/>
      <w:sz w:val="24"/>
      <w:szCs w:val="24"/>
      <w:u w:val="none"/>
      <w:lang w:val="zh-CN" w:eastAsia="zh-CN" w:bidi="zh-CN"/>
    </w:rPr>
  </w:style>
  <w:style w:type="character" w:customStyle="1" w:styleId="apple-converted-space">
    <w:name w:val="apple-converted-space"/>
    <w:basedOn w:val="a0"/>
    <w:rsid w:val="00626A3B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3073"/>
    <customShpInfo spid="_x0000_s3074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575</Words>
  <Characters>3282</Characters>
  <Application>Microsoft Office Word</Application>
  <DocSecurity>0</DocSecurity>
  <Lines>27</Lines>
  <Paragraphs>7</Paragraphs>
  <ScaleCrop>false</ScaleCrop>
  <Company/>
  <LinksUpToDate>false</LinksUpToDate>
  <CharactersWithSpaces>3850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张来萍</cp:lastModifiedBy>
  <cp:revision>2</cp:revision>
  <dcterms:created xsi:type="dcterms:W3CDTF">2019-03-22T00:20:00Z</dcterms:created>
  <dcterms:modified xsi:type="dcterms:W3CDTF">2019-03-22T00:20:00Z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